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D46D" w14:textId="77777777" w:rsidR="00C0614E" w:rsidRDefault="00C0614E" w:rsidP="00C0614E">
      <w:pPr>
        <w:spacing w:after="20"/>
        <w:ind w:firstLine="180"/>
        <w:jc w:val="right"/>
        <w:rPr>
          <w:rFonts w:ascii="Times" w:hAnsi="Times" w:cs="Times"/>
          <w:color w:val="000000"/>
          <w:szCs w:val="24"/>
        </w:rPr>
      </w:pPr>
      <w:proofErr w:type="gramStart"/>
      <w:r>
        <w:rPr>
          <w:rFonts w:ascii="Times" w:hAnsi="Times" w:cs="Times"/>
          <w:b/>
          <w:bCs/>
          <w:color w:val="000000"/>
          <w:szCs w:val="24"/>
        </w:rPr>
        <w:t>3 .</w:t>
      </w:r>
      <w:proofErr w:type="gramEnd"/>
      <w:r>
        <w:rPr>
          <w:rFonts w:ascii="Times" w:hAnsi="Times" w:cs="Times"/>
          <w:b/>
          <w:bCs/>
          <w:color w:val="000000"/>
          <w:szCs w:val="24"/>
        </w:rPr>
        <w:t xml:space="preserve"> melléklet </w:t>
      </w:r>
    </w:p>
    <w:p w14:paraId="205946B2" w14:textId="77777777" w:rsidR="00C0614E" w:rsidRDefault="00C0614E" w:rsidP="00C0614E">
      <w:pPr>
        <w:spacing w:after="20"/>
        <w:ind w:firstLine="180"/>
        <w:jc w:val="both"/>
      </w:pPr>
      <w:r>
        <w:rPr>
          <w:rFonts w:ascii="Times" w:hAnsi="Times" w:cs="Times"/>
          <w:b/>
          <w:bCs/>
          <w:color w:val="000000"/>
          <w:szCs w:val="24"/>
        </w:rPr>
        <w:t>A Képviselő-testületnek a társulásokra átruházott hatáskörök jegyzéke</w:t>
      </w:r>
    </w:p>
    <w:p w14:paraId="1BF9E020" w14:textId="77777777" w:rsidR="00C0614E" w:rsidRPr="001802D3" w:rsidRDefault="00C0614E" w:rsidP="00C0614E">
      <w:pPr>
        <w:spacing w:after="20"/>
        <w:jc w:val="both"/>
        <w:rPr>
          <w:rFonts w:ascii="Times" w:hAnsi="Times" w:cs="Times"/>
          <w:b/>
          <w:bCs/>
          <w:color w:val="000000"/>
          <w:szCs w:val="24"/>
        </w:rPr>
      </w:pPr>
      <w:r w:rsidRPr="001802D3">
        <w:rPr>
          <w:rFonts w:ascii="Times" w:hAnsi="Times" w:cs="Times"/>
          <w:b/>
          <w:bCs/>
          <w:color w:val="000000"/>
          <w:szCs w:val="24"/>
        </w:rPr>
        <w:t>I. Ózd Kistérség Többcélú Társulása</w:t>
      </w:r>
    </w:p>
    <w:p w14:paraId="5C17EDB6" w14:textId="77777777" w:rsidR="00C0614E" w:rsidRPr="001802D3" w:rsidRDefault="00C0614E" w:rsidP="00C0614E">
      <w:pPr>
        <w:spacing w:after="20"/>
        <w:jc w:val="both"/>
        <w:rPr>
          <w:rFonts w:ascii="Times" w:hAnsi="Times" w:cs="Times"/>
          <w:b/>
          <w:bCs/>
          <w:color w:val="000000"/>
          <w:szCs w:val="24"/>
        </w:rPr>
      </w:pPr>
      <w:r w:rsidRPr="001802D3">
        <w:rPr>
          <w:rFonts w:ascii="Times" w:hAnsi="Times" w:cs="Times"/>
          <w:b/>
          <w:bCs/>
          <w:color w:val="000000"/>
          <w:szCs w:val="24"/>
        </w:rPr>
        <w:t>1. Szociális szolgáltatások és ellátások:</w:t>
      </w:r>
    </w:p>
    <w:p w14:paraId="1D0740E7" w14:textId="26D9613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a)  Házi segítségnyújtás biztosítása </w:t>
      </w:r>
      <w:proofErr w:type="gramStart"/>
      <w:r>
        <w:rPr>
          <w:rFonts w:ascii="Times" w:hAnsi="Times" w:cs="Times"/>
          <w:color w:val="000000"/>
          <w:szCs w:val="24"/>
        </w:rPr>
        <w:t xml:space="preserve">( </w:t>
      </w:r>
      <w:r w:rsidR="000A726E">
        <w:rPr>
          <w:rFonts w:ascii="Times" w:hAnsi="Times" w:cs="Times"/>
          <w:color w:val="000000"/>
          <w:szCs w:val="24"/>
        </w:rPr>
        <w:t>Szt.</w:t>
      </w:r>
      <w:proofErr w:type="gramEnd"/>
      <w:r w:rsidR="000A726E">
        <w:rPr>
          <w:rFonts w:ascii="Times" w:hAnsi="Times" w:cs="Times"/>
          <w:color w:val="000000"/>
          <w:szCs w:val="24"/>
        </w:rPr>
        <w:t xml:space="preserve"> </w:t>
      </w:r>
      <w:r>
        <w:rPr>
          <w:rFonts w:ascii="Times" w:hAnsi="Times" w:cs="Times"/>
          <w:color w:val="000000"/>
          <w:szCs w:val="24"/>
        </w:rPr>
        <w:t>63. §)</w:t>
      </w:r>
    </w:p>
    <w:p w14:paraId="3A5192F8" w14:textId="7777777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b) Családsegítés biztosítása (Szt. 64.§)</w:t>
      </w:r>
    </w:p>
    <w:p w14:paraId="667FFEA5" w14:textId="7777777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c) Szenvedélybetegek közösségi ellátásának biztosítása (Szt.65/A. §)</w:t>
      </w:r>
    </w:p>
    <w:p w14:paraId="5758F5E1" w14:textId="7777777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d) Támogató szolgálat működtetése (Szt. 65/C.§)</w:t>
      </w:r>
    </w:p>
    <w:p w14:paraId="0ADD8ED6" w14:textId="7777777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e)  Nappali ellátás biztosítása (Szt. 65/F.§)</w:t>
      </w:r>
    </w:p>
    <w:p w14:paraId="70BD4FE7" w14:textId="77777777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f) Ápolást, gondozást nyújtása idősek otthonában (Szt. 68.§ (1)-(2))</w:t>
      </w:r>
    </w:p>
    <w:p w14:paraId="29AF388C" w14:textId="5E6CC025" w:rsidR="00C0614E" w:rsidRDefault="00C0614E" w:rsidP="000E58F8">
      <w:pPr>
        <w:spacing w:after="20"/>
        <w:ind w:left="1440" w:hanging="731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g) Átmeneti elhelyezés nyújtása éjjeli menedékhely hajléktalan személyek részére és átmenti szállás nyújtása hajléktalan személyek részére (Szt. 84. § (1)</w:t>
      </w:r>
    </w:p>
    <w:p w14:paraId="1D13A8C2" w14:textId="77777777" w:rsidR="000E58F8" w:rsidRDefault="000E58F8" w:rsidP="000E58F8">
      <w:pPr>
        <w:suppressAutoHyphens/>
        <w:autoSpaceDN w:val="0"/>
        <w:spacing w:beforeAutospacing="0" w:afterAutospacing="0"/>
        <w:ind w:left="720"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 xml:space="preserve">h) </w:t>
      </w:r>
      <w:r>
        <w:rPr>
          <w:rFonts w:ascii="Times" w:hAnsi="Times" w:cs="Times"/>
          <w:color w:val="000000"/>
          <w:szCs w:val="24"/>
        </w:rPr>
        <w:t>Egészségügyi alapellátáson belül a háziorvosi rendelési időn kívüli orvosi ügyeleti tevékenység ellátása</w:t>
      </w:r>
    </w:p>
    <w:p w14:paraId="0D14255C" w14:textId="163DEC87" w:rsidR="000E58F8" w:rsidRDefault="000E58F8" w:rsidP="00C0614E">
      <w:pPr>
        <w:spacing w:after="20"/>
        <w:ind w:left="1440" w:firstLine="180"/>
        <w:jc w:val="both"/>
        <w:rPr>
          <w:rFonts w:ascii="Times" w:hAnsi="Times" w:cs="Times"/>
          <w:color w:val="000000"/>
          <w:szCs w:val="24"/>
        </w:rPr>
      </w:pPr>
    </w:p>
    <w:p w14:paraId="42190E6D" w14:textId="77777777" w:rsidR="00C0614E" w:rsidRPr="001802D3" w:rsidRDefault="00C0614E" w:rsidP="00C0614E">
      <w:pPr>
        <w:spacing w:after="20"/>
        <w:jc w:val="both"/>
        <w:rPr>
          <w:rFonts w:ascii="Times" w:hAnsi="Times" w:cs="Times"/>
          <w:b/>
          <w:bCs/>
          <w:color w:val="000000"/>
          <w:szCs w:val="24"/>
        </w:rPr>
      </w:pPr>
      <w:r w:rsidRPr="001802D3">
        <w:rPr>
          <w:rFonts w:ascii="Times" w:hAnsi="Times" w:cs="Times"/>
          <w:b/>
          <w:bCs/>
          <w:color w:val="000000"/>
          <w:szCs w:val="24"/>
        </w:rPr>
        <w:t>2.  Gyermekjóléti alapellátás:</w:t>
      </w:r>
    </w:p>
    <w:p w14:paraId="564B54F2" w14:textId="77777777" w:rsidR="00C0614E" w:rsidRDefault="00C0614E" w:rsidP="00C0614E">
      <w:pPr>
        <w:spacing w:after="20"/>
        <w:ind w:left="1410" w:firstLine="180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a) Gyermekjóléti szolgáltatás biztosítása (A gyermekek védelméről és a gyámügyi igazgatásról szóló 1997. évi XXXI. törvény (továbbiakban: Gyvt.) 38. §. 39. § 40.§. § (1)-(2) 40/A §)</w:t>
      </w:r>
    </w:p>
    <w:p w14:paraId="2306B097" w14:textId="77777777" w:rsidR="00C0614E" w:rsidRDefault="00C0614E" w:rsidP="00C0614E">
      <w:pPr>
        <w:spacing w:after="20"/>
        <w:ind w:left="1410" w:firstLine="180"/>
        <w:jc w:val="both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b) Bölcsődei ellátás biztosítása (Gyvt. 42. §)</w:t>
      </w:r>
    </w:p>
    <w:p w14:paraId="52B1612E" w14:textId="77777777" w:rsidR="00C0614E" w:rsidRPr="001802D3" w:rsidRDefault="00C0614E" w:rsidP="00C0614E">
      <w:pPr>
        <w:spacing w:after="20"/>
        <w:jc w:val="both"/>
        <w:rPr>
          <w:rFonts w:ascii="Times" w:hAnsi="Times" w:cs="Times"/>
          <w:b/>
          <w:bCs/>
          <w:color w:val="000000"/>
          <w:szCs w:val="24"/>
        </w:rPr>
      </w:pPr>
      <w:r w:rsidRPr="001802D3">
        <w:rPr>
          <w:rFonts w:ascii="Times" w:hAnsi="Times" w:cs="Times"/>
          <w:b/>
          <w:bCs/>
          <w:color w:val="000000"/>
          <w:szCs w:val="24"/>
        </w:rPr>
        <w:t xml:space="preserve">II. </w:t>
      </w:r>
      <w:proofErr w:type="spellStart"/>
      <w:proofErr w:type="gramStart"/>
      <w:r w:rsidRPr="001802D3">
        <w:rPr>
          <w:rFonts w:ascii="Times" w:hAnsi="Times" w:cs="Times"/>
          <w:b/>
          <w:bCs/>
          <w:color w:val="000000"/>
          <w:szCs w:val="24"/>
        </w:rPr>
        <w:t>Csokvaományi</w:t>
      </w:r>
      <w:proofErr w:type="spellEnd"/>
      <w:r w:rsidRPr="001802D3">
        <w:rPr>
          <w:rFonts w:ascii="Times" w:hAnsi="Times" w:cs="Times"/>
          <w:b/>
          <w:bCs/>
          <w:color w:val="000000"/>
          <w:szCs w:val="24"/>
        </w:rPr>
        <w:t xml:space="preserve">  Háziorvosi</w:t>
      </w:r>
      <w:proofErr w:type="gramEnd"/>
      <w:r w:rsidRPr="001802D3">
        <w:rPr>
          <w:rFonts w:ascii="Times" w:hAnsi="Times" w:cs="Times"/>
          <w:b/>
          <w:bCs/>
          <w:color w:val="000000"/>
          <w:szCs w:val="24"/>
        </w:rPr>
        <w:t xml:space="preserve"> Ügyeleti Önkormányzati Társulás</w:t>
      </w:r>
    </w:p>
    <w:p w14:paraId="1EC63485" w14:textId="77777777" w:rsidR="00C0614E" w:rsidRDefault="00C0614E" w:rsidP="00C0614E">
      <w:p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</w:p>
    <w:p w14:paraId="34D9977A" w14:textId="03CF6566" w:rsidR="00C0614E" w:rsidRPr="001802D3" w:rsidRDefault="00C0614E" w:rsidP="00C0614E">
      <w:p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b/>
          <w:bCs/>
          <w:color w:val="000000"/>
          <w:szCs w:val="24"/>
        </w:rPr>
      </w:pPr>
      <w:r>
        <w:rPr>
          <w:rFonts w:ascii="Times" w:hAnsi="Times" w:cs="Times"/>
          <w:b/>
          <w:bCs/>
          <w:color w:val="000000"/>
          <w:szCs w:val="24"/>
        </w:rPr>
        <w:t>III</w:t>
      </w:r>
      <w:r w:rsidR="000A726E">
        <w:rPr>
          <w:rFonts w:ascii="Times" w:hAnsi="Times" w:cs="Times"/>
          <w:b/>
          <w:bCs/>
          <w:color w:val="000000"/>
          <w:szCs w:val="24"/>
        </w:rPr>
        <w:t xml:space="preserve">. </w:t>
      </w:r>
      <w:r w:rsidRPr="001802D3">
        <w:rPr>
          <w:rFonts w:ascii="Times" w:hAnsi="Times" w:cs="Times"/>
          <w:b/>
          <w:bCs/>
          <w:color w:val="000000"/>
          <w:szCs w:val="24"/>
        </w:rPr>
        <w:t>Sajó-Bódva Völgye és Környéke Hulladékkezelési Önkormányzat Társulás</w:t>
      </w:r>
    </w:p>
    <w:p w14:paraId="1A94EFE6" w14:textId="77777777" w:rsidR="00C0614E" w:rsidRDefault="00C0614E" w:rsidP="00C0614E">
      <w:pPr>
        <w:numPr>
          <w:ilvl w:val="0"/>
          <w:numId w:val="2"/>
        </w:numPr>
        <w:suppressAutoHyphens/>
        <w:autoSpaceDN w:val="0"/>
        <w:spacing w:beforeAutospacing="0" w:afterAutospacing="0"/>
        <w:ind w:right="0"/>
        <w:jc w:val="left"/>
        <w:textAlignment w:val="baseline"/>
        <w:rPr>
          <w:rFonts w:ascii="Times" w:hAnsi="Times" w:cs="Times"/>
          <w:color w:val="000000"/>
          <w:szCs w:val="24"/>
        </w:rPr>
      </w:pPr>
      <w:r>
        <w:rPr>
          <w:rFonts w:ascii="Times" w:hAnsi="Times" w:cs="Times"/>
          <w:color w:val="000000"/>
          <w:szCs w:val="24"/>
        </w:rPr>
        <w:t>A hulladékról szóló 2012. évi CLXXXV. törvény 33-37/A. §-</w:t>
      </w:r>
      <w:proofErr w:type="spellStart"/>
      <w:r>
        <w:rPr>
          <w:rFonts w:ascii="Times" w:hAnsi="Times" w:cs="Times"/>
          <w:color w:val="000000"/>
          <w:szCs w:val="24"/>
        </w:rPr>
        <w:t>ában</w:t>
      </w:r>
      <w:proofErr w:type="spellEnd"/>
      <w:r>
        <w:rPr>
          <w:rFonts w:ascii="Times" w:hAnsi="Times" w:cs="Times"/>
          <w:color w:val="000000"/>
          <w:szCs w:val="24"/>
        </w:rPr>
        <w:t xml:space="preserve"> meghatározott hulladékgazdálkodási feladat- és hatáskörök ellátása</w:t>
      </w:r>
    </w:p>
    <w:p w14:paraId="5EC41675" w14:textId="77777777" w:rsidR="00C0614E" w:rsidRDefault="00C0614E" w:rsidP="00C0614E"/>
    <w:p w14:paraId="239E606B" w14:textId="77777777" w:rsidR="00C0614E" w:rsidRDefault="00C0614E" w:rsidP="00C0614E">
      <w:pPr>
        <w:spacing w:before="0" w:beforeAutospacing="0" w:after="0" w:afterAutospacing="0"/>
      </w:pPr>
    </w:p>
    <w:p w14:paraId="0DE5C184" w14:textId="77777777" w:rsidR="00396674" w:rsidRDefault="00396674"/>
    <w:sectPr w:rsidR="003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61D2"/>
    <w:multiLevelType w:val="multilevel"/>
    <w:tmpl w:val="FC68B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53218E5"/>
    <w:multiLevelType w:val="multilevel"/>
    <w:tmpl w:val="70F00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4E"/>
    <w:rsid w:val="000A726E"/>
    <w:rsid w:val="000E58F8"/>
    <w:rsid w:val="00396674"/>
    <w:rsid w:val="00C0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D85"/>
  <w15:chartTrackingRefBased/>
  <w15:docId w15:val="{F66FF633-AE43-4C15-81E2-F35FFEBC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614E"/>
    <w:pPr>
      <w:spacing w:before="100" w:beforeAutospacing="1" w:after="100" w:afterAutospacing="1" w:line="240" w:lineRule="auto"/>
      <w:ind w:right="-648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Beatrix Demjénné Mustos</cp:lastModifiedBy>
  <cp:revision>3</cp:revision>
  <dcterms:created xsi:type="dcterms:W3CDTF">2021-07-27T09:46:00Z</dcterms:created>
  <dcterms:modified xsi:type="dcterms:W3CDTF">2021-08-04T11:39:00Z</dcterms:modified>
</cp:coreProperties>
</file>