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8ADC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</w:p>
    <w:p w14:paraId="1460CD1A" w14:textId="77777777" w:rsidR="00C6476E" w:rsidRPr="00C6476E" w:rsidRDefault="00C6476E" w:rsidP="00C6476E">
      <w:pPr>
        <w:jc w:val="center"/>
        <w:outlineLvl w:val="0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Tiszagyulaháza Községi Önkormányzat</w:t>
      </w:r>
    </w:p>
    <w:p w14:paraId="60A9143E" w14:textId="77777777" w:rsidR="00C6476E" w:rsidRPr="00C6476E" w:rsidRDefault="00C6476E" w:rsidP="00C6476E">
      <w:pPr>
        <w:jc w:val="center"/>
        <w:outlineLvl w:val="0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Képviselő-testületének</w:t>
      </w:r>
    </w:p>
    <w:p w14:paraId="517A7865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</w:p>
    <w:p w14:paraId="6269ADC8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7/2015. (III. 31.) Önkormányzati Rendelete</w:t>
      </w:r>
    </w:p>
    <w:p w14:paraId="0B3CAB80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</w:p>
    <w:p w14:paraId="318BF8CF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a települési támogatás megállapításának, kifizetésének, folyósításának, valamint felhasználása ellenőrzésének, valamint a személyes gondoskodást nyújtó szociális szolgáltatások</w:t>
      </w:r>
    </w:p>
    <w:p w14:paraId="61D4F696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részletes szabályairól szóló 5/2015. (II. 23.) Önkormányzati Rendelet módosítására</w:t>
      </w:r>
    </w:p>
    <w:p w14:paraId="4204CD15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color w:val="548DD4"/>
          <w:szCs w:val="24"/>
          <w:lang w:eastAsia="hu-HU"/>
        </w:rPr>
      </w:pPr>
    </w:p>
    <w:p w14:paraId="4D3C6A62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 xml:space="preserve">Tiszagyulaháza Községi Önkormányzat Képviselő-testülete </w:t>
      </w:r>
      <w:r w:rsidRPr="00C6476E">
        <w:rPr>
          <w:rFonts w:ascii="Garamond" w:eastAsia="Times New Roman" w:hAnsi="Garamond"/>
          <w:bCs/>
          <w:iCs/>
          <w:szCs w:val="24"/>
          <w:lang w:eastAsia="hu-HU"/>
        </w:rPr>
        <w:t>a</w:t>
      </w:r>
      <w:r w:rsidRPr="00C6476E">
        <w:rPr>
          <w:rFonts w:ascii="Garamond" w:eastAsia="Times New Roman" w:hAnsi="Garamond"/>
          <w:szCs w:val="24"/>
          <w:lang w:eastAsia="hu-HU"/>
        </w:rPr>
        <w:t xml:space="preserve"> szociális igazgatásról és szociális ellátásokról szóló 1993. évi III. törvény 1. §</w:t>
      </w:r>
      <w:r w:rsidRPr="00C6476E">
        <w:rPr>
          <w:rFonts w:ascii="Garamond" w:eastAsia="Times New Roman" w:hAnsi="Garamond"/>
          <w:szCs w:val="24"/>
          <w:lang w:eastAsia="hu-HU"/>
        </w:rPr>
        <w:noBreakHyphen/>
      </w:r>
      <w:proofErr w:type="spellStart"/>
      <w:r w:rsidRPr="00C6476E">
        <w:rPr>
          <w:rFonts w:ascii="Garamond" w:eastAsia="Times New Roman" w:hAnsi="Garamond"/>
          <w:szCs w:val="24"/>
          <w:lang w:eastAsia="hu-HU"/>
        </w:rPr>
        <w:t>ának</w:t>
      </w:r>
      <w:proofErr w:type="spellEnd"/>
      <w:r w:rsidRPr="00C6476E">
        <w:rPr>
          <w:rFonts w:ascii="Garamond" w:eastAsia="Times New Roman" w:hAnsi="Garamond"/>
          <w:szCs w:val="24"/>
          <w:lang w:eastAsia="hu-HU"/>
        </w:rPr>
        <w:t xml:space="preserve"> (2) bekezdésében, 86. § (1) bekezdésében és 115. §-</w:t>
      </w:r>
      <w:proofErr w:type="spellStart"/>
      <w:r w:rsidRPr="00C6476E">
        <w:rPr>
          <w:rFonts w:ascii="Garamond" w:eastAsia="Times New Roman" w:hAnsi="Garamond"/>
          <w:szCs w:val="24"/>
          <w:lang w:eastAsia="hu-HU"/>
        </w:rPr>
        <w:t>ában</w:t>
      </w:r>
      <w:proofErr w:type="spellEnd"/>
      <w:r w:rsidRPr="00C6476E">
        <w:rPr>
          <w:rFonts w:ascii="Garamond" w:eastAsia="Times New Roman" w:hAnsi="Garamond"/>
          <w:szCs w:val="24"/>
          <w:lang w:eastAsia="hu-HU"/>
        </w:rPr>
        <w:t xml:space="preserve"> kapott </w:t>
      </w:r>
      <w:r w:rsidRPr="00C6476E">
        <w:rPr>
          <w:rFonts w:ascii="Garamond" w:eastAsia="Times New Roman" w:hAnsi="Garamond"/>
          <w:bCs/>
          <w:iCs/>
          <w:szCs w:val="24"/>
          <w:lang w:eastAsia="hu-HU"/>
        </w:rPr>
        <w:t>fe</w:t>
      </w:r>
      <w:r w:rsidRPr="00C6476E">
        <w:rPr>
          <w:rFonts w:ascii="Garamond" w:eastAsia="Times New Roman" w:hAnsi="Garamond"/>
          <w:bCs/>
          <w:szCs w:val="24"/>
          <w:lang w:eastAsia="hu-HU"/>
        </w:rPr>
        <w:t xml:space="preserve">lhatalmazás alapján, az Alaptörvény 32. cikk. (1) bekezdés a) pontjában, valamint </w:t>
      </w:r>
      <w:r w:rsidRPr="00C6476E">
        <w:rPr>
          <w:rFonts w:ascii="Garamond" w:eastAsia="Times New Roman" w:hAnsi="Garamond"/>
          <w:bCs/>
          <w:iCs/>
          <w:szCs w:val="24"/>
          <w:lang w:eastAsia="hu-HU"/>
        </w:rPr>
        <w:t xml:space="preserve">a </w:t>
      </w:r>
      <w:r w:rsidRPr="00C6476E">
        <w:rPr>
          <w:rFonts w:ascii="Garamond" w:eastAsia="Times New Roman" w:hAnsi="Garamond"/>
          <w:bCs/>
          <w:szCs w:val="24"/>
          <w:lang w:eastAsia="hu-HU"/>
        </w:rPr>
        <w:t xml:space="preserve">Magyarország helyi önkormányzatairól </w:t>
      </w:r>
      <w:r w:rsidRPr="00C6476E">
        <w:rPr>
          <w:rFonts w:ascii="Garamond" w:eastAsia="Times New Roman" w:hAnsi="Garamond"/>
          <w:bCs/>
          <w:iCs/>
          <w:szCs w:val="24"/>
          <w:lang w:eastAsia="hu-HU"/>
        </w:rPr>
        <w:t xml:space="preserve">szóló </w:t>
      </w:r>
      <w:r w:rsidRPr="00C6476E">
        <w:rPr>
          <w:rFonts w:ascii="Garamond" w:eastAsia="Times New Roman" w:hAnsi="Garamond"/>
          <w:bCs/>
          <w:szCs w:val="24"/>
          <w:lang w:eastAsia="hu-HU"/>
        </w:rPr>
        <w:t xml:space="preserve">2011. évi CLXXXIX. törvény </w:t>
      </w:r>
      <w:r w:rsidRPr="00C6476E">
        <w:rPr>
          <w:rFonts w:ascii="Garamond" w:eastAsia="Times New Roman" w:hAnsi="Garamond"/>
          <w:bCs/>
          <w:iCs/>
          <w:szCs w:val="24"/>
          <w:lang w:eastAsia="hu-HU"/>
        </w:rPr>
        <w:t>13. § (1) bekezdésében és a</w:t>
      </w:r>
      <w:r w:rsidRPr="00C6476E">
        <w:rPr>
          <w:rFonts w:ascii="Garamond" w:eastAsia="Times New Roman" w:hAnsi="Garamond"/>
          <w:szCs w:val="24"/>
          <w:lang w:eastAsia="hu-HU"/>
        </w:rPr>
        <w:t xml:space="preserve"> szociális igazgatásról és szociális ellátásokról szóló 1993. évi III. törvény, 2. §-</w:t>
      </w:r>
      <w:proofErr w:type="spellStart"/>
      <w:r w:rsidRPr="00C6476E">
        <w:rPr>
          <w:rFonts w:ascii="Garamond" w:eastAsia="Times New Roman" w:hAnsi="Garamond"/>
          <w:szCs w:val="24"/>
          <w:lang w:eastAsia="hu-HU"/>
        </w:rPr>
        <w:t>ában</w:t>
      </w:r>
      <w:proofErr w:type="spellEnd"/>
      <w:r w:rsidRPr="00C6476E">
        <w:rPr>
          <w:rFonts w:ascii="Garamond" w:eastAsia="Times New Roman" w:hAnsi="Garamond"/>
          <w:bCs/>
          <w:iCs/>
          <w:szCs w:val="24"/>
          <w:lang w:eastAsia="hu-HU"/>
        </w:rPr>
        <w:t xml:space="preserve"> meghatározott feladatkörében eljárva </w:t>
      </w:r>
      <w:r w:rsidRPr="00C6476E">
        <w:rPr>
          <w:rFonts w:ascii="Garamond" w:eastAsia="Times New Roman" w:hAnsi="Garamond"/>
          <w:bCs/>
          <w:szCs w:val="24"/>
          <w:lang w:eastAsia="hu-HU"/>
        </w:rPr>
        <w:t>a következőket rendeli el:</w:t>
      </w:r>
    </w:p>
    <w:p w14:paraId="21C9FD95" w14:textId="77777777" w:rsidR="00C6476E" w:rsidRPr="00C6476E" w:rsidRDefault="00C6476E" w:rsidP="00C6476E">
      <w:pPr>
        <w:ind w:right="285"/>
        <w:rPr>
          <w:rFonts w:ascii="Garamond" w:eastAsia="Times New Roman" w:hAnsi="Garamond"/>
          <w:b/>
          <w:bCs/>
          <w:szCs w:val="24"/>
          <w:lang w:eastAsia="hu-HU"/>
        </w:rPr>
      </w:pPr>
    </w:p>
    <w:p w14:paraId="5D11F7A5" w14:textId="77777777" w:rsidR="00C6476E" w:rsidRPr="00C6476E" w:rsidRDefault="00C6476E" w:rsidP="00C6476E">
      <w:pPr>
        <w:ind w:right="285"/>
        <w:jc w:val="center"/>
        <w:rPr>
          <w:rFonts w:ascii="Garamond" w:eastAsia="Times New Roman" w:hAnsi="Garamond"/>
          <w:b/>
          <w:bCs/>
          <w:szCs w:val="24"/>
          <w:lang w:eastAsia="hu-HU"/>
        </w:rPr>
      </w:pPr>
    </w:p>
    <w:p w14:paraId="15566FD4" w14:textId="77777777" w:rsidR="00C6476E" w:rsidRPr="00C6476E" w:rsidRDefault="00C6476E" w:rsidP="00C6476E">
      <w:pPr>
        <w:ind w:left="426" w:hanging="426"/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1.§ A települési támogatás megállapításának, kifizetésének, folyósításának, valamint felhasználása ellenőrzésének, valamint a személyes gondoskodást nyújtó szociális szolgáltatások részletes szabályairól szóló 5/2015. (II. 23.) Önkormányzati Rendelet 1. számú melléklete helyébe e rendelet melléklete lép.</w:t>
      </w:r>
    </w:p>
    <w:p w14:paraId="300CC74C" w14:textId="77777777" w:rsidR="00C6476E" w:rsidRPr="00C6476E" w:rsidRDefault="00C6476E" w:rsidP="00C6476E">
      <w:pPr>
        <w:ind w:left="426" w:hanging="426"/>
        <w:jc w:val="both"/>
        <w:rPr>
          <w:rFonts w:ascii="Garamond" w:eastAsia="Times New Roman" w:hAnsi="Garamond"/>
          <w:szCs w:val="24"/>
          <w:lang w:eastAsia="hu-HU"/>
        </w:rPr>
      </w:pPr>
    </w:p>
    <w:p w14:paraId="754679AF" w14:textId="77777777" w:rsidR="00C6476E" w:rsidRPr="00C6476E" w:rsidRDefault="00C6476E" w:rsidP="00C6476E">
      <w:pPr>
        <w:ind w:left="426" w:hanging="426"/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 xml:space="preserve">Záró rendelkezések </w:t>
      </w:r>
    </w:p>
    <w:p w14:paraId="2BB72EEE" w14:textId="77777777" w:rsidR="00C6476E" w:rsidRPr="00C6476E" w:rsidRDefault="00C6476E" w:rsidP="00C6476E">
      <w:pPr>
        <w:ind w:left="426" w:hanging="426"/>
        <w:jc w:val="center"/>
        <w:rPr>
          <w:rFonts w:ascii="Garamond" w:eastAsia="Times New Roman" w:hAnsi="Garamond"/>
          <w:szCs w:val="24"/>
          <w:lang w:eastAsia="hu-HU"/>
        </w:rPr>
      </w:pPr>
    </w:p>
    <w:p w14:paraId="2D9019C8" w14:textId="77777777" w:rsidR="00C6476E" w:rsidRPr="00C6476E" w:rsidRDefault="00C6476E" w:rsidP="00C6476E">
      <w:pPr>
        <w:ind w:left="900" w:hanging="900"/>
        <w:jc w:val="center"/>
        <w:rPr>
          <w:rFonts w:ascii="Garamond" w:eastAsia="Times New Roman" w:hAnsi="Garamond"/>
          <w:szCs w:val="24"/>
          <w:lang w:eastAsia="hu-HU"/>
        </w:rPr>
      </w:pPr>
    </w:p>
    <w:p w14:paraId="0C39E5C7" w14:textId="77777777" w:rsidR="00C6476E" w:rsidRPr="00C6476E" w:rsidRDefault="00C6476E" w:rsidP="00C6476E">
      <w:pPr>
        <w:tabs>
          <w:tab w:val="left" w:pos="540"/>
        </w:tabs>
        <w:ind w:left="900" w:hanging="900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 xml:space="preserve">2. § </w:t>
      </w:r>
      <w:r w:rsidRPr="00C6476E">
        <w:rPr>
          <w:rFonts w:ascii="Garamond" w:eastAsia="Times New Roman" w:hAnsi="Garamond"/>
          <w:szCs w:val="24"/>
          <w:lang w:eastAsia="hu-HU"/>
        </w:rPr>
        <w:t>(1)</w:t>
      </w:r>
      <w:r w:rsidRPr="00C6476E">
        <w:rPr>
          <w:rFonts w:ascii="Garamond" w:eastAsia="Times New Roman" w:hAnsi="Garamond"/>
          <w:b/>
          <w:szCs w:val="24"/>
          <w:lang w:eastAsia="hu-HU"/>
        </w:rPr>
        <w:t xml:space="preserve"> </w:t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 xml:space="preserve">Ez a rendelet 2015. </w:t>
      </w:r>
      <w:r w:rsidR="00DD6972">
        <w:rPr>
          <w:rFonts w:ascii="Garamond" w:eastAsia="Times New Roman" w:hAnsi="Garamond"/>
          <w:szCs w:val="24"/>
          <w:lang w:eastAsia="hu-HU"/>
        </w:rPr>
        <w:t xml:space="preserve">április </w:t>
      </w:r>
      <w:r w:rsidRPr="00C6476E">
        <w:rPr>
          <w:rFonts w:ascii="Garamond" w:eastAsia="Times New Roman" w:hAnsi="Garamond"/>
          <w:szCs w:val="24"/>
          <w:lang w:eastAsia="hu-HU"/>
        </w:rPr>
        <w:t>1-jén lép hatályba.</w:t>
      </w:r>
    </w:p>
    <w:p w14:paraId="2430A7C9" w14:textId="77777777" w:rsidR="00C6476E" w:rsidRPr="00C6476E" w:rsidRDefault="00C6476E" w:rsidP="00C6476E">
      <w:pPr>
        <w:tabs>
          <w:tab w:val="left" w:pos="540"/>
        </w:tabs>
        <w:rPr>
          <w:rFonts w:ascii="Garamond" w:eastAsia="Times New Roman" w:hAnsi="Garamond"/>
          <w:szCs w:val="24"/>
          <w:lang w:eastAsia="hu-HU"/>
        </w:rPr>
      </w:pPr>
    </w:p>
    <w:p w14:paraId="79A18F1A" w14:textId="77777777" w:rsidR="00C6476E" w:rsidRPr="00C6476E" w:rsidRDefault="00C6476E" w:rsidP="00C6476E">
      <w:pPr>
        <w:tabs>
          <w:tab w:val="left" w:pos="540"/>
        </w:tabs>
        <w:ind w:left="900" w:hanging="900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 xml:space="preserve">       </w:t>
      </w:r>
      <w:r w:rsidRPr="00C6476E">
        <w:rPr>
          <w:rFonts w:ascii="Garamond" w:eastAsia="Times New Roman" w:hAnsi="Garamond"/>
          <w:szCs w:val="24"/>
          <w:lang w:eastAsia="hu-HU"/>
        </w:rPr>
        <w:t>(2) Hatályát veszti a</w:t>
      </w:r>
      <w:r w:rsidR="004F76F0">
        <w:rPr>
          <w:rFonts w:ascii="Garamond" w:eastAsia="Times New Roman" w:hAnsi="Garamond"/>
          <w:szCs w:val="24"/>
          <w:lang w:eastAsia="hu-HU"/>
        </w:rPr>
        <w:t>z</w:t>
      </w:r>
      <w:r w:rsidRPr="00C6476E">
        <w:rPr>
          <w:rFonts w:ascii="Garamond" w:eastAsia="Times New Roman" w:hAnsi="Garamond"/>
          <w:b/>
          <w:szCs w:val="24"/>
          <w:lang w:eastAsia="hu-HU"/>
        </w:rPr>
        <w:t xml:space="preserve"> </w:t>
      </w:r>
      <w:r w:rsidRPr="00C6476E">
        <w:rPr>
          <w:rFonts w:ascii="Garamond" w:eastAsia="Times New Roman" w:hAnsi="Garamond"/>
          <w:szCs w:val="24"/>
          <w:lang w:eastAsia="hu-HU"/>
        </w:rPr>
        <w:t>5/201</w:t>
      </w:r>
      <w:r w:rsidR="004F76F0">
        <w:rPr>
          <w:rFonts w:ascii="Garamond" w:eastAsia="Times New Roman" w:hAnsi="Garamond"/>
          <w:szCs w:val="24"/>
          <w:lang w:eastAsia="hu-HU"/>
        </w:rPr>
        <w:t>5</w:t>
      </w:r>
      <w:r w:rsidRPr="00C6476E">
        <w:rPr>
          <w:rFonts w:ascii="Garamond" w:eastAsia="Times New Roman" w:hAnsi="Garamond"/>
          <w:szCs w:val="24"/>
          <w:lang w:eastAsia="hu-HU"/>
        </w:rPr>
        <w:t xml:space="preserve">. (II. </w:t>
      </w:r>
      <w:r w:rsidR="004F76F0">
        <w:rPr>
          <w:rFonts w:ascii="Garamond" w:eastAsia="Times New Roman" w:hAnsi="Garamond"/>
          <w:szCs w:val="24"/>
          <w:lang w:eastAsia="hu-HU"/>
        </w:rPr>
        <w:t>23</w:t>
      </w:r>
      <w:r w:rsidRPr="00C6476E">
        <w:rPr>
          <w:rFonts w:ascii="Garamond" w:eastAsia="Times New Roman" w:hAnsi="Garamond"/>
          <w:szCs w:val="24"/>
          <w:lang w:eastAsia="hu-HU"/>
        </w:rPr>
        <w:t>.) Önkormányzati Rendelet 1. számú melléklete.</w:t>
      </w:r>
    </w:p>
    <w:p w14:paraId="45FBC46B" w14:textId="77777777" w:rsidR="00C6476E" w:rsidRPr="00C6476E" w:rsidRDefault="00C6476E" w:rsidP="00C6476E">
      <w:pPr>
        <w:tabs>
          <w:tab w:val="left" w:pos="540"/>
        </w:tabs>
        <w:ind w:left="900" w:hanging="900"/>
        <w:rPr>
          <w:rFonts w:ascii="Garamond" w:eastAsia="Times New Roman" w:hAnsi="Garamond"/>
          <w:szCs w:val="24"/>
          <w:lang w:eastAsia="hu-HU"/>
        </w:rPr>
      </w:pPr>
    </w:p>
    <w:p w14:paraId="66AB0CF8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</w:p>
    <w:p w14:paraId="4B1D669A" w14:textId="77777777" w:rsidR="00C6476E" w:rsidRPr="00C6476E" w:rsidRDefault="00C6476E" w:rsidP="00C6476E">
      <w:pPr>
        <w:rPr>
          <w:rFonts w:ascii="Garamond" w:eastAsia="Times New Roman" w:hAnsi="Garamond"/>
          <w:szCs w:val="24"/>
          <w:lang w:eastAsia="hu-HU"/>
        </w:rPr>
      </w:pPr>
    </w:p>
    <w:p w14:paraId="41F5F9FC" w14:textId="77777777" w:rsidR="00C6476E" w:rsidRPr="00C6476E" w:rsidRDefault="00C6476E" w:rsidP="00C6476E">
      <w:pPr>
        <w:outlineLvl w:val="0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Tiszagyulaháza, 2015. március 25.</w:t>
      </w:r>
    </w:p>
    <w:p w14:paraId="148422CC" w14:textId="77777777" w:rsidR="00C6476E" w:rsidRPr="00C6476E" w:rsidRDefault="00C6476E" w:rsidP="00C6476E">
      <w:pPr>
        <w:rPr>
          <w:rFonts w:ascii="Garamond" w:eastAsia="Times New Roman" w:hAnsi="Garamond"/>
          <w:szCs w:val="24"/>
          <w:lang w:eastAsia="hu-HU"/>
        </w:rPr>
      </w:pPr>
    </w:p>
    <w:p w14:paraId="2C37B551" w14:textId="77777777" w:rsidR="00C6476E" w:rsidRPr="00C6476E" w:rsidRDefault="00C6476E" w:rsidP="00C6476E">
      <w:pPr>
        <w:rPr>
          <w:rFonts w:ascii="Garamond" w:eastAsia="Times New Roman" w:hAnsi="Garamond"/>
          <w:szCs w:val="24"/>
          <w:lang w:eastAsia="hu-HU"/>
        </w:rPr>
      </w:pPr>
    </w:p>
    <w:p w14:paraId="7033A9A8" w14:textId="77777777" w:rsidR="00C6476E" w:rsidRPr="00C6476E" w:rsidRDefault="00C6476E" w:rsidP="00C6476E">
      <w:pPr>
        <w:rPr>
          <w:rFonts w:ascii="Garamond" w:eastAsia="Times New Roman" w:hAnsi="Garamond"/>
          <w:szCs w:val="24"/>
          <w:lang w:eastAsia="hu-HU"/>
        </w:rPr>
      </w:pPr>
    </w:p>
    <w:p w14:paraId="09008BF1" w14:textId="77777777" w:rsidR="00C6476E" w:rsidRPr="00C6476E" w:rsidRDefault="00C6476E" w:rsidP="00C6476E">
      <w:pPr>
        <w:rPr>
          <w:rFonts w:ascii="Garamond" w:eastAsia="Times New Roman" w:hAnsi="Garamond"/>
          <w:szCs w:val="24"/>
          <w:lang w:eastAsia="hu-HU"/>
        </w:rPr>
      </w:pPr>
    </w:p>
    <w:p w14:paraId="75056467" w14:textId="77777777" w:rsidR="00C6476E" w:rsidRPr="00C6476E" w:rsidRDefault="00C6476E" w:rsidP="00C6476E">
      <w:pPr>
        <w:rPr>
          <w:rFonts w:ascii="Garamond" w:eastAsia="Times New Roman" w:hAnsi="Garamond"/>
          <w:szCs w:val="24"/>
          <w:lang w:eastAsia="hu-HU"/>
        </w:rPr>
      </w:pPr>
    </w:p>
    <w:p w14:paraId="6AE9CB09" w14:textId="77777777" w:rsidR="00C6476E" w:rsidRPr="00C6476E" w:rsidRDefault="00C6476E" w:rsidP="00C6476E">
      <w:pPr>
        <w:tabs>
          <w:tab w:val="center" w:pos="1980"/>
          <w:tab w:val="center" w:pos="7560"/>
        </w:tabs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ab/>
        <w:t>Mikó Zoltán</w:t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  <w:t>Dr. Kiss Imre</w:t>
      </w:r>
    </w:p>
    <w:p w14:paraId="261F0FC8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 xml:space="preserve">      </w:t>
      </w:r>
      <w:r w:rsidRPr="00C6476E">
        <w:rPr>
          <w:rFonts w:ascii="Garamond" w:eastAsia="Times New Roman" w:hAnsi="Garamond"/>
          <w:szCs w:val="24"/>
          <w:lang w:eastAsia="hu-HU"/>
        </w:rPr>
        <w:t xml:space="preserve">        </w:t>
      </w:r>
      <w:r w:rsidRPr="00C6476E">
        <w:rPr>
          <w:rFonts w:ascii="Garamond" w:eastAsia="Times New Roman" w:hAnsi="Garamond"/>
          <w:szCs w:val="24"/>
          <w:lang w:eastAsia="hu-HU"/>
        </w:rPr>
        <w:tab/>
        <w:t>polgármester</w:t>
      </w:r>
      <w:r w:rsidRPr="00C6476E">
        <w:rPr>
          <w:rFonts w:ascii="Garamond" w:eastAsia="Times New Roman" w:hAnsi="Garamond"/>
          <w:szCs w:val="24"/>
          <w:lang w:eastAsia="hu-HU"/>
        </w:rPr>
        <w:tab/>
        <w:t xml:space="preserve"> jegyző</w:t>
      </w:r>
      <w:r w:rsidRPr="00C6476E">
        <w:rPr>
          <w:rFonts w:ascii="Garamond" w:eastAsia="Times New Roman" w:hAnsi="Garamond"/>
          <w:szCs w:val="24"/>
          <w:lang w:eastAsia="hu-HU"/>
        </w:rPr>
        <w:tab/>
      </w:r>
    </w:p>
    <w:p w14:paraId="10AD3AB5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60B1FD6E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27545056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689AB1E1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  <w:r w:rsidRPr="00C6476E">
        <w:rPr>
          <w:rFonts w:eastAsia="Times New Roman"/>
          <w:szCs w:val="24"/>
          <w:lang w:eastAsia="hu-HU"/>
        </w:rPr>
        <w:t>A rendelet kihirdetése megtörtént.</w:t>
      </w:r>
    </w:p>
    <w:p w14:paraId="11A6FF40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</w:p>
    <w:p w14:paraId="4E9AED0D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</w:p>
    <w:p w14:paraId="2884EB68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  <w:r w:rsidRPr="00C6476E">
        <w:rPr>
          <w:rFonts w:eastAsia="Times New Roman"/>
          <w:szCs w:val="24"/>
          <w:lang w:eastAsia="hu-HU"/>
        </w:rPr>
        <w:t>Tiszagyulaháza, 2015. március 31.</w:t>
      </w:r>
    </w:p>
    <w:p w14:paraId="0E47CCE6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</w:p>
    <w:p w14:paraId="738C5E68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</w:p>
    <w:p w14:paraId="6B0EA73A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</w:p>
    <w:p w14:paraId="2C324832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b/>
          <w:szCs w:val="24"/>
          <w:lang w:eastAsia="hu-HU"/>
        </w:rPr>
      </w:pPr>
      <w:r w:rsidRPr="00C6476E">
        <w:rPr>
          <w:rFonts w:eastAsia="Times New Roman"/>
          <w:szCs w:val="24"/>
          <w:lang w:eastAsia="hu-HU"/>
        </w:rPr>
        <w:tab/>
      </w:r>
      <w:r w:rsidRPr="00C6476E">
        <w:rPr>
          <w:rFonts w:eastAsia="Times New Roman"/>
          <w:b/>
          <w:szCs w:val="24"/>
          <w:lang w:eastAsia="hu-HU"/>
        </w:rPr>
        <w:t>Dr. Kiss Imre</w:t>
      </w:r>
    </w:p>
    <w:p w14:paraId="20085DD7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eastAsia="Times New Roman"/>
          <w:szCs w:val="24"/>
          <w:lang w:eastAsia="hu-HU"/>
        </w:rPr>
      </w:pPr>
      <w:r w:rsidRPr="00C6476E">
        <w:rPr>
          <w:rFonts w:eastAsia="Times New Roman"/>
          <w:b/>
          <w:szCs w:val="24"/>
          <w:lang w:eastAsia="hu-HU"/>
        </w:rPr>
        <w:t xml:space="preserve">                           </w:t>
      </w:r>
      <w:r w:rsidRPr="00C6476E">
        <w:rPr>
          <w:rFonts w:eastAsia="Times New Roman"/>
          <w:szCs w:val="24"/>
          <w:lang w:eastAsia="hu-HU"/>
        </w:rPr>
        <w:t>jegyző</w:t>
      </w:r>
    </w:p>
    <w:p w14:paraId="7C04B301" w14:textId="77777777" w:rsidR="00C6476E" w:rsidRPr="00C6476E" w:rsidRDefault="00C6476E" w:rsidP="00C6476E"/>
    <w:p w14:paraId="5B542C84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473CA73C" w14:textId="77777777" w:rsidR="00C6476E" w:rsidRPr="00C6476E" w:rsidRDefault="00C6476E" w:rsidP="00C6476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lang w:eastAsia="zh-CN" w:bidi="hi-IN"/>
        </w:rPr>
      </w:pPr>
    </w:p>
    <w:p w14:paraId="7CE8761F" w14:textId="77777777" w:rsidR="00C6476E" w:rsidRPr="00C6476E" w:rsidRDefault="00C6476E" w:rsidP="00C6476E">
      <w:pPr>
        <w:widowControl w:val="0"/>
        <w:suppressAutoHyphens/>
        <w:jc w:val="right"/>
        <w:rPr>
          <w:rFonts w:eastAsia="SimSun" w:cs="Mangal"/>
          <w:kern w:val="1"/>
          <w:szCs w:val="24"/>
          <w:lang w:eastAsia="zh-CN" w:bidi="hi-IN"/>
        </w:rPr>
      </w:pPr>
      <w:r w:rsidRPr="00C6476E">
        <w:rPr>
          <w:rFonts w:eastAsia="SimSun" w:cs="Mangal"/>
          <w:b/>
          <w:kern w:val="1"/>
          <w:szCs w:val="24"/>
          <w:lang w:eastAsia="zh-CN" w:bidi="hi-IN"/>
        </w:rPr>
        <w:t>1. melléklet a 7/2015. (III. 31.) Önkormányzati Rendelethez</w:t>
      </w:r>
    </w:p>
    <w:p w14:paraId="7D086E7B" w14:textId="77777777" w:rsidR="00C6476E" w:rsidRPr="00C6476E" w:rsidRDefault="00C6476E" w:rsidP="00C6476E">
      <w:pPr>
        <w:widowControl w:val="0"/>
        <w:suppressAutoHyphens/>
        <w:jc w:val="right"/>
        <w:rPr>
          <w:rFonts w:eastAsia="SimSun" w:cs="Mangal"/>
          <w:kern w:val="1"/>
          <w:szCs w:val="24"/>
          <w:lang w:eastAsia="zh-CN" w:bidi="hi-IN"/>
        </w:rPr>
      </w:pPr>
    </w:p>
    <w:p w14:paraId="47836230" w14:textId="77777777" w:rsidR="00C6476E" w:rsidRPr="00C6476E" w:rsidRDefault="00C6476E" w:rsidP="00C6476E">
      <w:pPr>
        <w:widowControl w:val="0"/>
        <w:suppressAutoHyphens/>
        <w:jc w:val="center"/>
        <w:rPr>
          <w:rFonts w:eastAsia="SimSun" w:cs="Mangal"/>
          <w:kern w:val="1"/>
          <w:szCs w:val="24"/>
          <w:lang w:eastAsia="zh-CN" w:bidi="hi-IN"/>
        </w:rPr>
      </w:pPr>
      <w:r w:rsidRPr="00C6476E">
        <w:rPr>
          <w:rFonts w:eastAsia="SimSun" w:cs="Mangal"/>
          <w:kern w:val="1"/>
          <w:szCs w:val="24"/>
          <w:lang w:eastAsia="zh-CN" w:bidi="hi-IN"/>
        </w:rPr>
        <w:t>Tiszagyulaházi Szociális Szolgálat önköltsége és hatályos intézményi térítési díjai</w:t>
      </w:r>
    </w:p>
    <w:p w14:paraId="165AAEDF" w14:textId="77777777" w:rsidR="00C6476E" w:rsidRPr="00C6476E" w:rsidRDefault="00C6476E" w:rsidP="00C6476E">
      <w:pPr>
        <w:widowControl w:val="0"/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</w:p>
    <w:p w14:paraId="2FF355EA" w14:textId="77777777" w:rsidR="00C6476E" w:rsidRPr="00C6476E" w:rsidRDefault="00C6476E" w:rsidP="00C6476E">
      <w:pPr>
        <w:widowControl w:val="0"/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</w:p>
    <w:tbl>
      <w:tblPr>
        <w:tblW w:w="10347" w:type="dxa"/>
        <w:tblInd w:w="-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2281"/>
        <w:gridCol w:w="3376"/>
        <w:gridCol w:w="1134"/>
      </w:tblGrid>
      <w:tr w:rsidR="00C6476E" w:rsidRPr="00C6476E" w14:paraId="310A8FC3" w14:textId="77777777" w:rsidTr="00C6476E">
        <w:trPr>
          <w:trHeight w:val="288"/>
        </w:trPr>
        <w:tc>
          <w:tcPr>
            <w:tcW w:w="35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533AEA0" w14:textId="77777777" w:rsidR="00C6476E" w:rsidRPr="00C6476E" w:rsidRDefault="00C6476E" w:rsidP="00C6476E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Ellátási forma</w:t>
            </w:r>
          </w:p>
        </w:tc>
        <w:tc>
          <w:tcPr>
            <w:tcW w:w="2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ABF07F1" w14:textId="77777777" w:rsidR="00C6476E" w:rsidRPr="00C6476E" w:rsidRDefault="00C6476E" w:rsidP="00C6476E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 xml:space="preserve"> Önköltség</w:t>
            </w:r>
          </w:p>
        </w:tc>
        <w:tc>
          <w:tcPr>
            <w:tcW w:w="451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DA07DE6" w14:textId="77777777" w:rsidR="00C6476E" w:rsidRPr="00C6476E" w:rsidRDefault="00C6476E" w:rsidP="00C6476E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Intézményi térítési díj</w:t>
            </w:r>
          </w:p>
        </w:tc>
      </w:tr>
      <w:tr w:rsidR="00C6476E" w:rsidRPr="00C6476E" w14:paraId="34B1730E" w14:textId="77777777" w:rsidTr="00C6476E">
        <w:trPr>
          <w:cantSplit/>
          <w:trHeight w:val="1011"/>
        </w:trPr>
        <w:tc>
          <w:tcPr>
            <w:tcW w:w="35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39EFF2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étkeztetés</w:t>
            </w:r>
          </w:p>
          <w:p w14:paraId="32B71B63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helyben fogyasztással, illetve elvitellel</w:t>
            </w:r>
          </w:p>
        </w:tc>
        <w:tc>
          <w:tcPr>
            <w:tcW w:w="2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5A28433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  <w:p w14:paraId="36B66D32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730.-</w:t>
            </w:r>
          </w:p>
          <w:p w14:paraId="0F87FABF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Ft/ellátási nap</w:t>
            </w:r>
          </w:p>
        </w:tc>
        <w:tc>
          <w:tcPr>
            <w:tcW w:w="451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EAB3438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  <w:p w14:paraId="38FF4972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SimSun" w:cs="Mangal"/>
                <w:b/>
                <w:kern w:val="1"/>
                <w:szCs w:val="20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272.-Ft/ellátási nap</w:t>
            </w:r>
          </w:p>
        </w:tc>
      </w:tr>
      <w:tr w:rsidR="00C6476E" w:rsidRPr="00C6476E" w14:paraId="0F893C6A" w14:textId="77777777" w:rsidTr="00C6476E">
        <w:trPr>
          <w:cantSplit/>
          <w:trHeight w:val="1011"/>
        </w:trPr>
        <w:tc>
          <w:tcPr>
            <w:tcW w:w="35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97B55B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étkeztetés</w:t>
            </w:r>
          </w:p>
          <w:p w14:paraId="551532A8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kiszállítással</w:t>
            </w:r>
          </w:p>
        </w:tc>
        <w:tc>
          <w:tcPr>
            <w:tcW w:w="2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94545A1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  <w:p w14:paraId="618CE8DC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815,-</w:t>
            </w:r>
          </w:p>
          <w:p w14:paraId="75CE22AD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Ft/ellátási nap</w:t>
            </w:r>
          </w:p>
        </w:tc>
        <w:tc>
          <w:tcPr>
            <w:tcW w:w="451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0153020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  <w:p w14:paraId="47E3F70B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SimSun" w:cs="Mangal"/>
                <w:b/>
                <w:kern w:val="1"/>
                <w:szCs w:val="20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 xml:space="preserve"> 335.-Ft/ellátási nap</w:t>
            </w:r>
          </w:p>
        </w:tc>
      </w:tr>
      <w:tr w:rsidR="00C6476E" w:rsidRPr="00C6476E" w14:paraId="19F2537B" w14:textId="77777777" w:rsidTr="00C6476E">
        <w:trPr>
          <w:cantSplit/>
          <w:trHeight w:val="260"/>
        </w:trPr>
        <w:tc>
          <w:tcPr>
            <w:tcW w:w="355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DF6056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házi segítségnyújtás</w:t>
            </w:r>
          </w:p>
          <w:p w14:paraId="7A7F9510" w14:textId="77777777" w:rsidR="00C6476E" w:rsidRPr="00C6476E" w:rsidRDefault="00C6476E" w:rsidP="00C6476E">
            <w:pPr>
              <w:widowControl w:val="0"/>
              <w:suppressAutoHyphens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22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866E24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1115.-Ft/óra  </w:t>
            </w:r>
          </w:p>
        </w:tc>
        <w:tc>
          <w:tcPr>
            <w:tcW w:w="33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C2123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térítésmentes</w:t>
            </w:r>
          </w:p>
          <w:p w14:paraId="00D00F30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SimSun" w:cs="Mangal"/>
                <w:kern w:val="1"/>
                <w:szCs w:val="20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az öregségi nyugdíjminimum 100%-a vagy az alatti jövedelem esetén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E36540" w14:textId="77777777" w:rsidR="00C6476E" w:rsidRPr="00C6476E" w:rsidRDefault="00C6476E" w:rsidP="00C6476E">
            <w:pPr>
              <w:widowControl w:val="0"/>
              <w:suppressAutoHyphens/>
              <w:snapToGrid w:val="0"/>
              <w:ind w:left="1065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  <w:p w14:paraId="56B026A9" w14:textId="77777777" w:rsidR="00C6476E" w:rsidRPr="00C6476E" w:rsidRDefault="00C6476E" w:rsidP="00C6476E">
            <w:pPr>
              <w:widowControl w:val="0"/>
              <w:suppressAutoHyphens/>
              <w:ind w:left="113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Azzal, hogy ellátottak a tárgyhónapban a 15. gondozási </w:t>
            </w:r>
            <w:proofErr w:type="gramStart"/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óra  után</w:t>
            </w:r>
            <w:proofErr w:type="gramEnd"/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 az ellátást térítésmentesen vehetik igénybe.</w:t>
            </w:r>
          </w:p>
          <w:p w14:paraId="3EC8019A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113" w:right="113"/>
              <w:jc w:val="center"/>
              <w:outlineLvl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</w:tr>
      <w:tr w:rsidR="00C6476E" w:rsidRPr="00C6476E" w14:paraId="45290110" w14:textId="77777777" w:rsidTr="00C6476E">
        <w:trPr>
          <w:cantSplit/>
          <w:trHeight w:val="257"/>
        </w:trPr>
        <w:tc>
          <w:tcPr>
            <w:tcW w:w="3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943B2" w14:textId="77777777" w:rsidR="00C6476E" w:rsidRPr="00C6476E" w:rsidRDefault="00C6476E" w:rsidP="00C6476E">
            <w:pPr>
              <w:widowControl w:val="0"/>
              <w:suppressAutoHyphens/>
              <w:snapToGrid w:val="0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726A502" w14:textId="77777777" w:rsidR="00C6476E" w:rsidRPr="00C6476E" w:rsidRDefault="00C6476E" w:rsidP="00C6476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95110D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SimSun" w:cs="Mangal"/>
                <w:kern w:val="1"/>
                <w:szCs w:val="20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50.-Ft</w:t>
            </w:r>
          </w:p>
          <w:p w14:paraId="61BBDE10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az öregségi nyugdíjminimum 100%-ánál magasabb, de 150%-a vagy az alatti jövedelem esetén</w:t>
            </w:r>
          </w:p>
        </w:tc>
        <w:tc>
          <w:tcPr>
            <w:tcW w:w="11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42EA72" w14:textId="77777777" w:rsidR="00C6476E" w:rsidRPr="00C6476E" w:rsidRDefault="00C6476E" w:rsidP="00C6476E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</w:tr>
      <w:tr w:rsidR="00C6476E" w:rsidRPr="00C6476E" w14:paraId="56834E12" w14:textId="77777777" w:rsidTr="00C6476E">
        <w:trPr>
          <w:cantSplit/>
          <w:trHeight w:val="580"/>
        </w:trPr>
        <w:tc>
          <w:tcPr>
            <w:tcW w:w="3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11AA126" w14:textId="77777777" w:rsidR="00C6476E" w:rsidRPr="00C6476E" w:rsidRDefault="00C6476E" w:rsidP="00C6476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A4FC96" w14:textId="77777777" w:rsidR="00C6476E" w:rsidRPr="00C6476E" w:rsidRDefault="00C6476E" w:rsidP="00C6476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A870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SimSun" w:cs="Mangal"/>
                <w:kern w:val="1"/>
                <w:szCs w:val="20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100.-Ft</w:t>
            </w:r>
          </w:p>
          <w:p w14:paraId="6D9C8F06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az öregségi nyugdíjminimum 150%-ánál magasabb, de 300%-a vagy az alatti jövedelem esetén</w:t>
            </w:r>
          </w:p>
        </w:tc>
        <w:tc>
          <w:tcPr>
            <w:tcW w:w="11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27DE2E" w14:textId="77777777" w:rsidR="00C6476E" w:rsidRPr="00C6476E" w:rsidRDefault="00C6476E" w:rsidP="00C6476E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</w:tr>
      <w:tr w:rsidR="00C6476E" w:rsidRPr="00C6476E" w14:paraId="3D4A3BAE" w14:textId="77777777" w:rsidTr="00C6476E">
        <w:trPr>
          <w:cantSplit/>
          <w:trHeight w:val="1060"/>
        </w:trPr>
        <w:tc>
          <w:tcPr>
            <w:tcW w:w="3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656EDB2" w14:textId="77777777" w:rsidR="00C6476E" w:rsidRPr="00C6476E" w:rsidRDefault="00C6476E" w:rsidP="00C6476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FE98162" w14:textId="77777777" w:rsidR="00C6476E" w:rsidRPr="00C6476E" w:rsidRDefault="00C6476E" w:rsidP="00C6476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C155D86" w14:textId="77777777" w:rsidR="00C6476E" w:rsidRPr="00C6476E" w:rsidRDefault="00C6476E" w:rsidP="00C6476E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SimSun" w:cs="Mangal"/>
                <w:kern w:val="1"/>
                <w:szCs w:val="20"/>
                <w:lang w:eastAsia="zh-CN" w:bidi="hi-IN"/>
              </w:rPr>
            </w:pPr>
            <w:r w:rsidRPr="00C6476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150.-Ft</w:t>
            </w:r>
          </w:p>
          <w:p w14:paraId="6AB1BE1C" w14:textId="77777777" w:rsidR="00C6476E" w:rsidRPr="00C6476E" w:rsidRDefault="00C6476E" w:rsidP="00C647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C6476E">
              <w:rPr>
                <w:rFonts w:eastAsia="SimSun" w:cs="Mangal"/>
                <w:kern w:val="1"/>
                <w:szCs w:val="24"/>
                <w:lang w:eastAsia="zh-CN" w:bidi="hi-IN"/>
              </w:rPr>
              <w:t>az öregségi nyugdíjminimum 300%-ánál magasabb jövedelem esetén</w:t>
            </w:r>
          </w:p>
        </w:tc>
        <w:tc>
          <w:tcPr>
            <w:tcW w:w="11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D72F9C" w14:textId="77777777" w:rsidR="00C6476E" w:rsidRPr="00C6476E" w:rsidRDefault="00C6476E" w:rsidP="00C6476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</w:tr>
    </w:tbl>
    <w:p w14:paraId="63E04B0A" w14:textId="77777777" w:rsidR="00C6476E" w:rsidRPr="00C6476E" w:rsidRDefault="00C6476E" w:rsidP="00C6476E">
      <w:pPr>
        <w:widowControl w:val="0"/>
        <w:suppressAutoHyphens/>
        <w:spacing w:line="360" w:lineRule="auto"/>
        <w:jc w:val="both"/>
        <w:rPr>
          <w:rFonts w:eastAsia="SimSun" w:cs="Mangal"/>
          <w:kern w:val="1"/>
          <w:szCs w:val="24"/>
          <w:lang w:eastAsia="zh-CN" w:bidi="hi-IN"/>
        </w:rPr>
      </w:pPr>
    </w:p>
    <w:p w14:paraId="2EABADC1" w14:textId="77777777" w:rsidR="00C6476E" w:rsidRPr="00C6476E" w:rsidRDefault="00C6476E" w:rsidP="00C6476E">
      <w:pPr>
        <w:widowControl w:val="0"/>
        <w:suppressAutoHyphens/>
        <w:spacing w:line="360" w:lineRule="auto"/>
        <w:jc w:val="both"/>
        <w:rPr>
          <w:rFonts w:eastAsia="SimSun" w:cs="Mangal"/>
          <w:kern w:val="1"/>
          <w:szCs w:val="24"/>
          <w:lang w:eastAsia="zh-CN" w:bidi="hi-IN"/>
        </w:rPr>
      </w:pPr>
      <w:r w:rsidRPr="00C6476E">
        <w:rPr>
          <w:rFonts w:eastAsia="SimSun" w:cs="Mangal"/>
          <w:kern w:val="1"/>
          <w:szCs w:val="24"/>
          <w:lang w:eastAsia="zh-CN" w:bidi="hi-IN"/>
        </w:rPr>
        <w:t xml:space="preserve">Az árak étkeztetés esetében az ÁFA-t tartalmazzák. </w:t>
      </w:r>
    </w:p>
    <w:p w14:paraId="0B3586E7" w14:textId="77777777" w:rsidR="00C6476E" w:rsidRPr="00C6476E" w:rsidRDefault="00C6476E" w:rsidP="00C6476E">
      <w:pPr>
        <w:widowControl w:val="0"/>
        <w:suppressAutoHyphens/>
        <w:spacing w:line="360" w:lineRule="auto"/>
        <w:jc w:val="both"/>
        <w:rPr>
          <w:rFonts w:eastAsia="SimSun" w:cs="Mangal"/>
          <w:kern w:val="1"/>
          <w:szCs w:val="24"/>
          <w:lang w:eastAsia="zh-CN" w:bidi="hi-IN"/>
        </w:rPr>
      </w:pPr>
      <w:r w:rsidRPr="00C6476E">
        <w:rPr>
          <w:rFonts w:eastAsia="SimSun" w:cs="Mangal"/>
          <w:kern w:val="1"/>
          <w:szCs w:val="24"/>
          <w:lang w:eastAsia="zh-CN" w:bidi="hi-IN"/>
        </w:rPr>
        <w:t>Az ellátási nap kizárólag ebéd biztosítását foglalja magában az étkeztetés alapszolgáltatás esetében.</w:t>
      </w:r>
    </w:p>
    <w:p w14:paraId="1F8511D4" w14:textId="77777777" w:rsidR="00C6476E" w:rsidRPr="00C6476E" w:rsidRDefault="00C6476E" w:rsidP="00C6476E">
      <w:pPr>
        <w:widowControl w:val="0"/>
        <w:suppressAutoHyphens/>
        <w:spacing w:line="360" w:lineRule="auto"/>
        <w:jc w:val="both"/>
        <w:rPr>
          <w:rFonts w:eastAsia="SimSun" w:cs="Mangal"/>
          <w:kern w:val="1"/>
          <w:szCs w:val="24"/>
          <w:lang w:eastAsia="zh-CN" w:bidi="hi-IN"/>
        </w:rPr>
      </w:pPr>
      <w:r>
        <w:rPr>
          <w:noProof/>
        </w:rPr>
        <w:pict w14:anchorId="35197107"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7" type="#_x0000_t202" style="position:absolute;left:0;text-align:left;margin-left:0;margin-top:11.95pt;width:298.6pt;height:102.85pt;z-index:25165772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16"/>
                    <w:gridCol w:w="2124"/>
                  </w:tblGrid>
                  <w:tr w:rsidR="00C6476E" w:rsidRPr="00C6476E" w14:paraId="6812F1F5" w14:textId="77777777">
                    <w:trPr>
                      <w:trHeight w:val="288"/>
                    </w:trPr>
                    <w:tc>
                      <w:tcPr>
                        <w:tcW w:w="371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</w:tcBorders>
                        <w:shd w:val="clear" w:color="auto" w:fill="auto"/>
                      </w:tcPr>
                      <w:p w14:paraId="2DD1E7AE" w14:textId="77777777" w:rsidR="00C6476E" w:rsidRPr="00C6476E" w:rsidRDefault="00C6476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C6476E">
                          <w:rPr>
                            <w:b/>
                          </w:rPr>
                          <w:t>Szolgáltatás megnevezése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14:paraId="68B1DC3E" w14:textId="77777777" w:rsidR="00C6476E" w:rsidRPr="00C6476E" w:rsidRDefault="00C6476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C6476E">
                          <w:rPr>
                            <w:b/>
                          </w:rPr>
                          <w:t xml:space="preserve"> Nyersanyag</w:t>
                        </w:r>
                      </w:p>
                      <w:p w14:paraId="0A5B3528" w14:textId="77777777" w:rsidR="00C6476E" w:rsidRPr="00C6476E" w:rsidRDefault="00C6476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C6476E">
                          <w:rPr>
                            <w:b/>
                          </w:rPr>
                          <w:t xml:space="preserve">Norma (nettó) </w:t>
                        </w:r>
                      </w:p>
                    </w:tc>
                  </w:tr>
                  <w:tr w:rsidR="00C6476E" w:rsidRPr="00C6476E" w14:paraId="60DF27CC" w14:textId="77777777">
                    <w:trPr>
                      <w:cantSplit/>
                      <w:trHeight w:val="1011"/>
                    </w:trPr>
                    <w:tc>
                      <w:tcPr>
                        <w:tcW w:w="371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9D92736" w14:textId="77777777" w:rsidR="00C6476E" w:rsidRPr="00C6476E" w:rsidRDefault="00C6476E">
                        <w:pPr>
                          <w:jc w:val="center"/>
                          <w:rPr>
                            <w:b/>
                          </w:rPr>
                        </w:pPr>
                        <w:r w:rsidRPr="00C6476E">
                          <w:rPr>
                            <w:b/>
                          </w:rPr>
                          <w:t>étkeztetés (szociális, munkahelyi, vendég)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14:paraId="5AC208F9" w14:textId="77777777" w:rsidR="00C6476E" w:rsidRPr="005D0189" w:rsidRDefault="00C6476E">
                        <w:pPr>
                          <w:pStyle w:val="Cmsor1"/>
                          <w:rPr>
                            <w:rFonts w:ascii="Times New Roman" w:hAnsi="Times New Roman"/>
                          </w:rPr>
                        </w:pPr>
                        <w:r w:rsidRPr="005D0189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266.-Ft/adag</w:t>
                        </w:r>
                      </w:p>
                    </w:tc>
                  </w:tr>
                </w:tbl>
                <w:p w14:paraId="6C06BA2A" w14:textId="77777777" w:rsidR="00C6476E" w:rsidRDefault="00C6476E" w:rsidP="00C6476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14:paraId="4F09B78C" w14:textId="77777777" w:rsidR="00C6476E" w:rsidRPr="00C6476E" w:rsidRDefault="00C6476E" w:rsidP="00C6476E">
      <w:pPr>
        <w:widowControl w:val="0"/>
        <w:suppressAutoHyphens/>
        <w:spacing w:line="360" w:lineRule="auto"/>
        <w:jc w:val="both"/>
        <w:rPr>
          <w:rFonts w:eastAsia="SimSun" w:cs="Mangal"/>
          <w:kern w:val="1"/>
          <w:szCs w:val="24"/>
          <w:lang w:eastAsia="zh-CN" w:bidi="hi-IN"/>
        </w:rPr>
      </w:pPr>
    </w:p>
    <w:p w14:paraId="42D36547" w14:textId="77777777" w:rsidR="00C6476E" w:rsidRPr="00C6476E" w:rsidRDefault="00C6476E" w:rsidP="00C6476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u w:val="single"/>
          <w:lang w:eastAsia="zh-CN" w:bidi="hi-IN"/>
        </w:rPr>
      </w:pPr>
    </w:p>
    <w:p w14:paraId="42E13274" w14:textId="77777777" w:rsidR="00C6476E" w:rsidRPr="00C6476E" w:rsidRDefault="00C6476E" w:rsidP="00C6476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u w:val="single"/>
          <w:lang w:eastAsia="zh-CN" w:bidi="hi-IN"/>
        </w:rPr>
      </w:pPr>
    </w:p>
    <w:p w14:paraId="545967ED" w14:textId="77777777" w:rsidR="00C6476E" w:rsidRPr="00C6476E" w:rsidRDefault="00C6476E" w:rsidP="00C6476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u w:val="single"/>
          <w:lang w:eastAsia="zh-CN" w:bidi="hi-IN"/>
        </w:rPr>
      </w:pPr>
    </w:p>
    <w:p w14:paraId="04F4DC7F" w14:textId="77777777" w:rsidR="00C6476E" w:rsidRPr="00C6476E" w:rsidRDefault="00C6476E" w:rsidP="00C6476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u w:val="single"/>
          <w:lang w:eastAsia="zh-CN" w:bidi="hi-IN"/>
        </w:rPr>
      </w:pPr>
    </w:p>
    <w:p w14:paraId="40BBAF1B" w14:textId="77777777" w:rsidR="00C6476E" w:rsidRPr="00C6476E" w:rsidRDefault="00C6476E" w:rsidP="00C6476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u w:val="single"/>
          <w:lang w:eastAsia="zh-CN" w:bidi="hi-IN"/>
        </w:rPr>
      </w:pPr>
    </w:p>
    <w:p w14:paraId="7B3976C5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668E6D35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01007E06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0AEF51A6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1A1BF9E4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3E4E61BA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6008001C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2DF92B1C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4AF78B17" w14:textId="77777777" w:rsidR="00C6476E" w:rsidRPr="00C6476E" w:rsidRDefault="00C6476E" w:rsidP="00C6476E">
      <w:pPr>
        <w:tabs>
          <w:tab w:val="left" w:pos="2977"/>
        </w:tabs>
        <w:ind w:left="2552"/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 xml:space="preserve">ÖNKÖLTSÉG SZÁMÍTÁS </w:t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  <w:t>1. sz táblázat</w:t>
      </w:r>
    </w:p>
    <w:p w14:paraId="159FDADB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</w:p>
    <w:p w14:paraId="309BD3CF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2015. évben</w:t>
      </w:r>
    </w:p>
    <w:p w14:paraId="65197447" w14:textId="77777777" w:rsidR="00C6476E" w:rsidRPr="00C6476E" w:rsidRDefault="00C6476E" w:rsidP="00C6476E">
      <w:pPr>
        <w:spacing w:after="75"/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a települési támogatás megállapításának, kifizetésének, folyósításának, valamint felhasználása ellenőrzésének, valamint a személyes gondoskodást nyújtó szociális szolgáltatások részletes szabályairól szóló rendelethez</w:t>
      </w:r>
    </w:p>
    <w:p w14:paraId="1C8EBDF5" w14:textId="77777777" w:rsidR="00C6476E" w:rsidRPr="00C6476E" w:rsidRDefault="00C6476E" w:rsidP="00C6476E">
      <w:pPr>
        <w:jc w:val="center"/>
        <w:rPr>
          <w:rFonts w:ascii="Garamond" w:eastAsia="Times New Roman" w:hAnsi="Garamond"/>
          <w:b/>
          <w:szCs w:val="24"/>
          <w:lang w:eastAsia="hu-HU"/>
        </w:rPr>
      </w:pPr>
    </w:p>
    <w:p w14:paraId="2B1A24A4" w14:textId="77777777" w:rsidR="00C6476E" w:rsidRPr="00C6476E" w:rsidRDefault="00C6476E" w:rsidP="00C6476E">
      <w:pPr>
        <w:jc w:val="center"/>
        <w:rPr>
          <w:rFonts w:ascii="Garamond" w:eastAsia="Times New Roman" w:hAnsi="Garamond"/>
          <w:szCs w:val="24"/>
          <w:lang w:eastAsia="hu-HU"/>
        </w:rPr>
      </w:pPr>
    </w:p>
    <w:p w14:paraId="24FC69BE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Szociális Étkezés önköltsége</w:t>
      </w:r>
      <w:r w:rsidRPr="00C6476E">
        <w:rPr>
          <w:rFonts w:ascii="Garamond" w:eastAsia="Times New Roman" w:hAnsi="Garamond"/>
          <w:szCs w:val="24"/>
          <w:lang w:eastAsia="hu-HU"/>
        </w:rPr>
        <w:t>:</w:t>
      </w:r>
    </w:p>
    <w:p w14:paraId="0271606A" w14:textId="77777777" w:rsidR="00C6476E" w:rsidRPr="00C6476E" w:rsidRDefault="00C6476E" w:rsidP="00C6476E">
      <w:pPr>
        <w:tabs>
          <w:tab w:val="left" w:pos="5400"/>
        </w:tabs>
        <w:ind w:firstLine="540"/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Személyi juttatás: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1. 711. 130 Ft</w:t>
      </w:r>
    </w:p>
    <w:p w14:paraId="528C736F" w14:textId="77777777" w:rsidR="00C6476E" w:rsidRPr="00C6476E" w:rsidRDefault="00C6476E" w:rsidP="00C6476E">
      <w:pPr>
        <w:tabs>
          <w:tab w:val="left" w:pos="5400"/>
        </w:tabs>
        <w:ind w:firstLine="540"/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Munkaadót terhelő járulékok: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 xml:space="preserve">    468. 598 Ft</w:t>
      </w:r>
    </w:p>
    <w:p w14:paraId="71355A9E" w14:textId="77777777" w:rsidR="00C6476E" w:rsidRPr="00C6476E" w:rsidRDefault="00C6476E" w:rsidP="00C6476E">
      <w:pPr>
        <w:tabs>
          <w:tab w:val="left" w:pos="5400"/>
        </w:tabs>
        <w:ind w:firstLine="540"/>
        <w:jc w:val="both"/>
        <w:rPr>
          <w:rFonts w:ascii="Garamond" w:eastAsia="Times New Roman" w:hAnsi="Garamond"/>
          <w:szCs w:val="24"/>
          <w:u w:val="single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Dologi, és egyéb folyó kiadások: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 xml:space="preserve"> </w:t>
      </w:r>
      <w:r w:rsidRPr="00C6476E">
        <w:rPr>
          <w:rFonts w:ascii="Garamond" w:eastAsia="Times New Roman" w:hAnsi="Garamond"/>
          <w:szCs w:val="24"/>
          <w:u w:val="single"/>
          <w:lang w:eastAsia="hu-HU"/>
        </w:rPr>
        <w:t>3. 079. 220Ft</w:t>
      </w:r>
    </w:p>
    <w:p w14:paraId="26E24275" w14:textId="77777777" w:rsidR="00C6476E" w:rsidRPr="00C6476E" w:rsidRDefault="00C6476E" w:rsidP="00C6476E">
      <w:pPr>
        <w:tabs>
          <w:tab w:val="left" w:pos="540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Kiadások összesen: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5. 258. 948 Ft</w:t>
      </w:r>
    </w:p>
    <w:p w14:paraId="511C3B13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Étkezés adag száma: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 xml:space="preserve">    7. 227 adag</w:t>
      </w:r>
    </w:p>
    <w:p w14:paraId="43132710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</w:p>
    <w:p w14:paraId="50CE5E83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 xml:space="preserve">1 étkezési napra jutó önköltség: 5. 258.948 Ft/ 7. 227 </w:t>
      </w:r>
      <w:proofErr w:type="spellStart"/>
      <w:r w:rsidRPr="00C6476E">
        <w:rPr>
          <w:rFonts w:ascii="Garamond" w:eastAsia="Times New Roman" w:hAnsi="Garamond"/>
          <w:szCs w:val="24"/>
          <w:lang w:eastAsia="hu-HU"/>
        </w:rPr>
        <w:t>ellát.nap</w:t>
      </w:r>
      <w:proofErr w:type="spellEnd"/>
      <w:r w:rsidRPr="00C6476E">
        <w:rPr>
          <w:rFonts w:ascii="Garamond" w:eastAsia="Times New Roman" w:hAnsi="Garamond"/>
          <w:szCs w:val="24"/>
          <w:lang w:eastAsia="hu-HU"/>
        </w:rPr>
        <w:t xml:space="preserve"> = 728 Ft/ellátás</w:t>
      </w:r>
      <w:proofErr w:type="gramStart"/>
      <w:r w:rsidRPr="00C6476E">
        <w:rPr>
          <w:rFonts w:ascii="Garamond" w:eastAsia="Times New Roman" w:hAnsi="Garamond"/>
          <w:szCs w:val="24"/>
          <w:lang w:eastAsia="hu-HU"/>
        </w:rPr>
        <w:t>/.nap</w:t>
      </w:r>
      <w:proofErr w:type="gramEnd"/>
    </w:p>
    <w:p w14:paraId="180CAF4B" w14:textId="77777777" w:rsidR="00C6476E" w:rsidRPr="00C6476E" w:rsidRDefault="00C6476E" w:rsidP="00C6476E">
      <w:pPr>
        <w:tabs>
          <w:tab w:val="left" w:pos="630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Kerekítve:</w:t>
      </w:r>
      <w:r w:rsidRPr="00C6476E">
        <w:rPr>
          <w:rFonts w:ascii="Garamond" w:eastAsia="Times New Roman" w:hAnsi="Garamond"/>
          <w:szCs w:val="24"/>
          <w:lang w:eastAsia="hu-HU"/>
        </w:rPr>
        <w:tab/>
        <w:t>730 Ft/ ellátás/nap</w:t>
      </w:r>
    </w:p>
    <w:p w14:paraId="39AD92B5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Számított Intézményi térítési díj: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730 Ft/ellátás/nap</w:t>
      </w:r>
    </w:p>
    <w:p w14:paraId="52E20803" w14:textId="77777777" w:rsidR="00C6476E" w:rsidRPr="00C6476E" w:rsidRDefault="00C6476E" w:rsidP="00C6476E">
      <w:pPr>
        <w:jc w:val="both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Javasolt Intézményi térítési díj:</w:t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  <w:t>345 Ft\ellátás/nap</w:t>
      </w:r>
    </w:p>
    <w:p w14:paraId="445A4843" w14:textId="77777777" w:rsidR="00C6476E" w:rsidRPr="00C6476E" w:rsidRDefault="00C6476E" w:rsidP="00C6476E">
      <w:pPr>
        <w:jc w:val="both"/>
        <w:rPr>
          <w:rFonts w:ascii="Garamond" w:eastAsia="Times New Roman" w:hAnsi="Garamond"/>
          <w:b/>
          <w:szCs w:val="24"/>
          <w:lang w:eastAsia="hu-HU"/>
        </w:rPr>
      </w:pPr>
    </w:p>
    <w:p w14:paraId="5692FEC4" w14:textId="77777777" w:rsidR="00C6476E" w:rsidRPr="00C6476E" w:rsidRDefault="00C6476E" w:rsidP="00C6476E">
      <w:pPr>
        <w:jc w:val="both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Étkezés kiszállításának önköltsége</w:t>
      </w:r>
    </w:p>
    <w:p w14:paraId="60448988" w14:textId="77777777" w:rsidR="00C6476E" w:rsidRPr="00C6476E" w:rsidRDefault="00C6476E" w:rsidP="00C6476E">
      <w:pPr>
        <w:tabs>
          <w:tab w:val="left" w:pos="6300"/>
        </w:tabs>
        <w:ind w:firstLine="540"/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Személyi juttatás: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192. 024 Ft</w:t>
      </w:r>
    </w:p>
    <w:p w14:paraId="405D0890" w14:textId="77777777" w:rsidR="00C6476E" w:rsidRPr="00C6476E" w:rsidRDefault="00C6476E" w:rsidP="00C6476E">
      <w:pPr>
        <w:tabs>
          <w:tab w:val="left" w:pos="6300"/>
        </w:tabs>
        <w:ind w:firstLine="540"/>
        <w:jc w:val="both"/>
        <w:rPr>
          <w:rFonts w:ascii="Garamond" w:eastAsia="Times New Roman" w:hAnsi="Garamond"/>
          <w:szCs w:val="24"/>
          <w:lang w:eastAsia="hu-HU"/>
        </w:rPr>
      </w:pPr>
    </w:p>
    <w:p w14:paraId="4C1E5434" w14:textId="77777777" w:rsidR="00C6476E" w:rsidRPr="00C6476E" w:rsidRDefault="00C6476E" w:rsidP="00C6476E">
      <w:pPr>
        <w:tabs>
          <w:tab w:val="left" w:pos="630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Összesen: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192. 024 Ft</w:t>
      </w:r>
    </w:p>
    <w:p w14:paraId="42912B34" w14:textId="77777777" w:rsidR="00C6476E" w:rsidRPr="00C6476E" w:rsidRDefault="00C6476E" w:rsidP="00C6476E">
      <w:pPr>
        <w:tabs>
          <w:tab w:val="left" w:pos="630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56333B56" w14:textId="77777777" w:rsidR="00C6476E" w:rsidRPr="00C6476E" w:rsidRDefault="00C6476E" w:rsidP="00C6476E">
      <w:pPr>
        <w:tabs>
          <w:tab w:val="left" w:pos="630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Kiszállítási helyek száma: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 xml:space="preserve">      9 db</w:t>
      </w:r>
    </w:p>
    <w:p w14:paraId="06783D18" w14:textId="77777777" w:rsidR="00C6476E" w:rsidRPr="00C6476E" w:rsidRDefault="00C6476E" w:rsidP="00C6476E">
      <w:pPr>
        <w:tabs>
          <w:tab w:val="left" w:pos="630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Étkezési napok száma: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 xml:space="preserve">      251 nap</w:t>
      </w:r>
    </w:p>
    <w:p w14:paraId="4DCC75F1" w14:textId="77777777" w:rsidR="00C6476E" w:rsidRPr="00C6476E" w:rsidRDefault="00C6476E" w:rsidP="00C6476E">
      <w:pPr>
        <w:tabs>
          <w:tab w:val="left" w:pos="630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 xml:space="preserve">1 napra </w:t>
      </w:r>
      <w:proofErr w:type="gramStart"/>
      <w:r w:rsidRPr="00C6476E">
        <w:rPr>
          <w:rFonts w:ascii="Garamond" w:eastAsia="Times New Roman" w:hAnsi="Garamond"/>
          <w:szCs w:val="24"/>
          <w:lang w:eastAsia="hu-HU"/>
        </w:rPr>
        <w:t>jutó  nettó</w:t>
      </w:r>
      <w:proofErr w:type="gramEnd"/>
      <w:r w:rsidRPr="00C6476E">
        <w:rPr>
          <w:rFonts w:ascii="Garamond" w:eastAsia="Times New Roman" w:hAnsi="Garamond"/>
          <w:szCs w:val="24"/>
          <w:lang w:eastAsia="hu-HU"/>
        </w:rPr>
        <w:t xml:space="preserve"> önköltség: 192 024 /( 251*9) = 85 Ft/kiszállítási hely/nap</w:t>
      </w:r>
    </w:p>
    <w:p w14:paraId="37D58F8B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Kerekítve: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 xml:space="preserve"> 85 Ft/ ellátási nap</w:t>
      </w:r>
    </w:p>
    <w:p w14:paraId="16F09E0B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Számított Intézményi térítési díj (730+</w:t>
      </w:r>
      <w:proofErr w:type="gramStart"/>
      <w:r w:rsidRPr="00C6476E">
        <w:rPr>
          <w:rFonts w:ascii="Garamond" w:eastAsia="Times New Roman" w:hAnsi="Garamond"/>
          <w:szCs w:val="24"/>
          <w:lang w:eastAsia="hu-HU"/>
        </w:rPr>
        <w:t>85)=</w:t>
      </w:r>
      <w:proofErr w:type="gramEnd"/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815 Ft/ ellátási nap</w:t>
      </w:r>
    </w:p>
    <w:p w14:paraId="27EBB79B" w14:textId="77777777" w:rsidR="00C6476E" w:rsidRPr="00C6476E" w:rsidRDefault="00C6476E" w:rsidP="00C6476E">
      <w:pPr>
        <w:jc w:val="both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Javasolt Intézményi térítési díj:</w:t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  <w:t>425 Ft\ellátás/nap</w:t>
      </w:r>
    </w:p>
    <w:p w14:paraId="18EF8436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</w:p>
    <w:p w14:paraId="37AFC95C" w14:textId="77777777" w:rsidR="00C6476E" w:rsidRPr="00C6476E" w:rsidRDefault="00C6476E" w:rsidP="00C6476E">
      <w:pPr>
        <w:jc w:val="both"/>
        <w:rPr>
          <w:rFonts w:ascii="Garamond" w:eastAsia="Times New Roman" w:hAnsi="Garamond"/>
          <w:b/>
          <w:szCs w:val="24"/>
          <w:lang w:eastAsia="hu-HU"/>
        </w:rPr>
      </w:pPr>
    </w:p>
    <w:p w14:paraId="6DCC9BAC" w14:textId="77777777" w:rsidR="00C6476E" w:rsidRPr="00C6476E" w:rsidRDefault="00C6476E" w:rsidP="00C6476E">
      <w:pPr>
        <w:jc w:val="both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Házi segítségnyújtás:</w:t>
      </w:r>
    </w:p>
    <w:p w14:paraId="5D7CF9BD" w14:textId="77777777" w:rsidR="00C6476E" w:rsidRPr="00C6476E" w:rsidRDefault="00C6476E" w:rsidP="00C6476E">
      <w:pPr>
        <w:tabs>
          <w:tab w:val="left" w:pos="5400"/>
        </w:tabs>
        <w:ind w:firstLine="540"/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Személyi juttatás: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5. 215 200 Ft</w:t>
      </w:r>
    </w:p>
    <w:p w14:paraId="1E85A300" w14:textId="77777777" w:rsidR="00C6476E" w:rsidRPr="00C6476E" w:rsidRDefault="00C6476E" w:rsidP="00C6476E">
      <w:pPr>
        <w:tabs>
          <w:tab w:val="left" w:pos="5400"/>
        </w:tabs>
        <w:ind w:firstLine="540"/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Munkaadót terhelő járulékok: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1. 426. 896 FT</w:t>
      </w:r>
    </w:p>
    <w:p w14:paraId="07CAFA97" w14:textId="77777777" w:rsidR="00C6476E" w:rsidRPr="00C6476E" w:rsidRDefault="00C6476E" w:rsidP="00C6476E">
      <w:pPr>
        <w:tabs>
          <w:tab w:val="left" w:pos="5400"/>
        </w:tabs>
        <w:ind w:firstLine="540"/>
        <w:jc w:val="both"/>
        <w:rPr>
          <w:rFonts w:ascii="Garamond" w:eastAsia="Times New Roman" w:hAnsi="Garamond"/>
          <w:szCs w:val="24"/>
          <w:u w:val="single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Dologi, és egyéb folyó kiadások: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u w:val="single"/>
          <w:lang w:eastAsia="hu-HU"/>
        </w:rPr>
        <w:t xml:space="preserve">     142. 000 Ft</w:t>
      </w:r>
    </w:p>
    <w:p w14:paraId="10FC2031" w14:textId="77777777" w:rsidR="00C6476E" w:rsidRPr="00C6476E" w:rsidRDefault="00C6476E" w:rsidP="00C6476E">
      <w:pPr>
        <w:tabs>
          <w:tab w:val="left" w:pos="540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Kiadások összesen: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6. 784. 096 Ft</w:t>
      </w:r>
    </w:p>
    <w:p w14:paraId="336BA728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</w:p>
    <w:p w14:paraId="43F87B94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Gondozói munkaórák száma: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6096 óra</w:t>
      </w:r>
    </w:p>
    <w:p w14:paraId="2EA9B2A3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1 órára jutó önköltség: 6.784.096/6096 =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1.113 Ft/óra</w:t>
      </w:r>
    </w:p>
    <w:p w14:paraId="3F36D0D6" w14:textId="77777777" w:rsidR="00C6476E" w:rsidRPr="00C6476E" w:rsidRDefault="00C6476E" w:rsidP="00C6476E">
      <w:pPr>
        <w:tabs>
          <w:tab w:val="left" w:pos="6480"/>
        </w:tabs>
        <w:jc w:val="both"/>
        <w:rPr>
          <w:rFonts w:ascii="Garamond" w:eastAsia="Times New Roman" w:hAnsi="Garamond"/>
          <w:szCs w:val="24"/>
          <w:lang w:eastAsia="hu-HU"/>
        </w:rPr>
      </w:pPr>
      <w:proofErr w:type="gramStart"/>
      <w:r w:rsidRPr="00C6476E">
        <w:rPr>
          <w:rFonts w:ascii="Garamond" w:eastAsia="Times New Roman" w:hAnsi="Garamond"/>
          <w:szCs w:val="24"/>
          <w:lang w:eastAsia="hu-HU"/>
        </w:rPr>
        <w:t xml:space="preserve">Kerekítve:   </w:t>
      </w:r>
      <w:proofErr w:type="gramEnd"/>
      <w:r w:rsidRPr="00C6476E">
        <w:rPr>
          <w:rFonts w:ascii="Garamond" w:eastAsia="Times New Roman" w:hAnsi="Garamond"/>
          <w:szCs w:val="24"/>
          <w:lang w:eastAsia="hu-HU"/>
        </w:rPr>
        <w:t xml:space="preserve">                                                                                     1. 115.Ft/óra</w:t>
      </w:r>
    </w:p>
    <w:p w14:paraId="34F66F5E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  <w:r w:rsidRPr="00C6476E">
        <w:rPr>
          <w:rFonts w:ascii="Garamond" w:eastAsia="Times New Roman" w:hAnsi="Garamond"/>
          <w:szCs w:val="24"/>
          <w:lang w:eastAsia="hu-HU"/>
        </w:rPr>
        <w:t>Számított Intézményi térítési díj:</w:t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</w:r>
      <w:r w:rsidRPr="00C6476E">
        <w:rPr>
          <w:rFonts w:ascii="Garamond" w:eastAsia="Times New Roman" w:hAnsi="Garamond"/>
          <w:szCs w:val="24"/>
          <w:lang w:eastAsia="hu-HU"/>
        </w:rPr>
        <w:tab/>
        <w:t>1.</w:t>
      </w:r>
      <w:proofErr w:type="gramStart"/>
      <w:r w:rsidRPr="00C6476E">
        <w:rPr>
          <w:rFonts w:ascii="Garamond" w:eastAsia="Times New Roman" w:hAnsi="Garamond"/>
          <w:szCs w:val="24"/>
          <w:lang w:eastAsia="hu-HU"/>
        </w:rPr>
        <w:t>115  Ft</w:t>
      </w:r>
      <w:proofErr w:type="gramEnd"/>
      <w:r w:rsidRPr="00C6476E">
        <w:rPr>
          <w:rFonts w:ascii="Garamond" w:eastAsia="Times New Roman" w:hAnsi="Garamond"/>
          <w:szCs w:val="24"/>
          <w:lang w:eastAsia="hu-HU"/>
        </w:rPr>
        <w:t>/óra</w:t>
      </w:r>
    </w:p>
    <w:p w14:paraId="6D1B49E1" w14:textId="77777777" w:rsidR="00C6476E" w:rsidRPr="00C6476E" w:rsidRDefault="00C6476E" w:rsidP="00C6476E">
      <w:pPr>
        <w:jc w:val="both"/>
        <w:rPr>
          <w:rFonts w:ascii="Garamond" w:eastAsia="Times New Roman" w:hAnsi="Garamond"/>
          <w:b/>
          <w:szCs w:val="24"/>
          <w:lang w:eastAsia="hu-HU"/>
        </w:rPr>
      </w:pPr>
      <w:r w:rsidRPr="00C6476E">
        <w:rPr>
          <w:rFonts w:ascii="Garamond" w:eastAsia="Times New Roman" w:hAnsi="Garamond"/>
          <w:b/>
          <w:szCs w:val="24"/>
          <w:lang w:eastAsia="hu-HU"/>
        </w:rPr>
        <w:t>Javasolt Intézményi térítési díj:</w:t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</w:r>
      <w:r w:rsidRPr="00C6476E">
        <w:rPr>
          <w:rFonts w:ascii="Garamond" w:eastAsia="Times New Roman" w:hAnsi="Garamond"/>
          <w:b/>
          <w:szCs w:val="24"/>
          <w:lang w:eastAsia="hu-HU"/>
        </w:rPr>
        <w:tab/>
        <w:t>150 Ft\ellátás/nap</w:t>
      </w:r>
    </w:p>
    <w:p w14:paraId="4AEE29AF" w14:textId="77777777" w:rsidR="00C6476E" w:rsidRPr="00C6476E" w:rsidRDefault="00C6476E" w:rsidP="00C6476E">
      <w:pPr>
        <w:jc w:val="both"/>
        <w:rPr>
          <w:rFonts w:ascii="Garamond" w:eastAsia="Times New Roman" w:hAnsi="Garamond"/>
          <w:szCs w:val="24"/>
          <w:lang w:eastAsia="hu-HU"/>
        </w:rPr>
      </w:pPr>
    </w:p>
    <w:p w14:paraId="2DC1FC9C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0604C4F1" w14:textId="77777777" w:rsidR="00C6476E" w:rsidRPr="00C6476E" w:rsidRDefault="00C6476E" w:rsidP="00C6476E">
      <w:pPr>
        <w:tabs>
          <w:tab w:val="center" w:pos="1980"/>
          <w:tab w:val="center" w:pos="75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14:paraId="000403FB" w14:textId="77777777" w:rsidR="00A13C34" w:rsidRDefault="00A13C34"/>
    <w:sectPr w:rsidR="00A13C34" w:rsidSect="00C6476E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113F" w14:textId="77777777" w:rsidR="00384E10" w:rsidRDefault="00384E10">
      <w:r>
        <w:separator/>
      </w:r>
    </w:p>
  </w:endnote>
  <w:endnote w:type="continuationSeparator" w:id="0">
    <w:p w14:paraId="043754CC" w14:textId="77777777" w:rsidR="00384E10" w:rsidRDefault="003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DFE7" w14:textId="77777777" w:rsidR="00384E10" w:rsidRDefault="00384E10">
      <w:r>
        <w:separator/>
      </w:r>
    </w:p>
  </w:footnote>
  <w:footnote w:type="continuationSeparator" w:id="0">
    <w:p w14:paraId="3348CB63" w14:textId="77777777" w:rsidR="00384E10" w:rsidRDefault="0038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207B" w14:textId="77777777" w:rsidR="00C6476E" w:rsidRDefault="00C647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47ED8C" w14:textId="77777777" w:rsidR="00C6476E" w:rsidRDefault="00C647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C2C2" w14:textId="77777777" w:rsidR="00C6476E" w:rsidRDefault="00C647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F76F0">
      <w:rPr>
        <w:rStyle w:val="Oldalszm"/>
        <w:noProof/>
      </w:rPr>
      <w:t>3</w:t>
    </w:r>
    <w:r>
      <w:rPr>
        <w:rStyle w:val="Oldalszm"/>
      </w:rPr>
      <w:fldChar w:fldCharType="end"/>
    </w:r>
  </w:p>
  <w:p w14:paraId="2AA873CE" w14:textId="77777777" w:rsidR="00C6476E" w:rsidRDefault="00C647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76E"/>
    <w:rsid w:val="001C1156"/>
    <w:rsid w:val="00384E10"/>
    <w:rsid w:val="004F76F0"/>
    <w:rsid w:val="0067784E"/>
    <w:rsid w:val="00740CB9"/>
    <w:rsid w:val="00A13C34"/>
    <w:rsid w:val="00C6476E"/>
    <w:rsid w:val="00C65028"/>
    <w:rsid w:val="00CD44E5"/>
    <w:rsid w:val="00DD5FFB"/>
    <w:rsid w:val="00DD6972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9CB783"/>
  <w15:chartTrackingRefBased/>
  <w15:docId w15:val="{7D0CB950-9CB2-4B1B-B50B-12D292D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647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6476E"/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C6476E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link w:val="lfej"/>
    <w:rsid w:val="00C6476E"/>
    <w:rPr>
      <w:rFonts w:eastAsia="Times New Roman"/>
      <w:sz w:val="20"/>
      <w:szCs w:val="20"/>
      <w:lang w:eastAsia="hu-HU"/>
    </w:rPr>
  </w:style>
  <w:style w:type="character" w:styleId="Oldalszm">
    <w:name w:val="page number"/>
    <w:rsid w:val="00C6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Hajdúnánási Közös Önkormányzati Hivatal</cp:lastModifiedBy>
  <cp:revision>2</cp:revision>
  <dcterms:created xsi:type="dcterms:W3CDTF">2021-07-08T06:08:00Z</dcterms:created>
  <dcterms:modified xsi:type="dcterms:W3CDTF">2021-07-08T06:08:00Z</dcterms:modified>
</cp:coreProperties>
</file>