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9B93" w14:textId="77777777" w:rsidR="007D0C6A" w:rsidRPr="00E2320B" w:rsidRDefault="007D0C6A" w:rsidP="007D0C6A">
      <w:pPr>
        <w:ind w:left="284" w:hanging="284"/>
        <w:jc w:val="right"/>
        <w:rPr>
          <w:b/>
          <w:i/>
        </w:rPr>
      </w:pPr>
      <w:r w:rsidRPr="00E2320B">
        <w:rPr>
          <w:b/>
          <w:i/>
        </w:rPr>
        <w:t xml:space="preserve">Az SZMSZ </w:t>
      </w:r>
      <w:proofErr w:type="gramStart"/>
      <w:r>
        <w:rPr>
          <w:b/>
          <w:i/>
        </w:rPr>
        <w:t>8</w:t>
      </w:r>
      <w:r w:rsidRPr="00E2320B">
        <w:rPr>
          <w:b/>
          <w:i/>
        </w:rPr>
        <w:t xml:space="preserve"> .</w:t>
      </w:r>
      <w:proofErr w:type="gramEnd"/>
      <w:r w:rsidRPr="00E2320B">
        <w:rPr>
          <w:b/>
          <w:i/>
        </w:rPr>
        <w:t xml:space="preserve"> számú melléklet  </w:t>
      </w:r>
    </w:p>
    <w:p w14:paraId="5FFA1318" w14:textId="77777777" w:rsidR="007D0C6A" w:rsidRDefault="007D0C6A" w:rsidP="007D0C6A">
      <w:pPr>
        <w:jc w:val="both"/>
      </w:pPr>
    </w:p>
    <w:p w14:paraId="17BB5E81" w14:textId="77777777" w:rsidR="007D0C6A" w:rsidRDefault="007D0C6A" w:rsidP="007D0C6A">
      <w:pPr>
        <w:jc w:val="both"/>
      </w:pPr>
    </w:p>
    <w:p w14:paraId="0A254C17" w14:textId="77777777" w:rsidR="007D0C6A" w:rsidRDefault="007D0C6A" w:rsidP="007D0C6A">
      <w:pPr>
        <w:jc w:val="both"/>
      </w:pPr>
    </w:p>
    <w:p w14:paraId="53E4BDEF" w14:textId="77777777" w:rsidR="007D0C6A" w:rsidRPr="00597F40" w:rsidRDefault="007D0C6A" w:rsidP="007D0C6A">
      <w:pPr>
        <w:spacing w:line="276" w:lineRule="auto"/>
        <w:jc w:val="center"/>
        <w:rPr>
          <w:b/>
        </w:rPr>
      </w:pPr>
      <w:r w:rsidRPr="00597F40">
        <w:rPr>
          <w:b/>
        </w:rPr>
        <w:t xml:space="preserve">SZIGETVÁR VÁROS NEMZETISÉGI ÖNKORMÁNYZATAINAK </w:t>
      </w:r>
    </w:p>
    <w:p w14:paraId="095760C8" w14:textId="77777777" w:rsidR="007D0C6A" w:rsidRPr="00597F40" w:rsidRDefault="007D0C6A" w:rsidP="007D0C6A">
      <w:pPr>
        <w:spacing w:line="276" w:lineRule="auto"/>
        <w:jc w:val="center"/>
        <w:rPr>
          <w:b/>
        </w:rPr>
      </w:pPr>
      <w:r w:rsidRPr="00597F40">
        <w:rPr>
          <w:b/>
        </w:rPr>
        <w:t>HASZNÁLATÁRA ÁTADOTT VAGYON</w:t>
      </w:r>
    </w:p>
    <w:p w14:paraId="78287BCB" w14:textId="77777777" w:rsidR="007D0C6A" w:rsidRDefault="007D0C6A" w:rsidP="007D0C6A">
      <w:pPr>
        <w:spacing w:line="276" w:lineRule="auto"/>
      </w:pPr>
    </w:p>
    <w:p w14:paraId="44222237" w14:textId="77777777" w:rsidR="007D0C6A" w:rsidRDefault="007D0C6A" w:rsidP="007D0C6A">
      <w:pPr>
        <w:spacing w:line="276" w:lineRule="auto"/>
        <w:jc w:val="both"/>
      </w:pPr>
      <w:r>
        <w:t>1. Szigetvári Roma Nemzetiségi Önkormányzat részére:</w:t>
      </w:r>
    </w:p>
    <w:p w14:paraId="6C878167" w14:textId="77777777" w:rsidR="007D0C6A" w:rsidRDefault="007D0C6A" w:rsidP="007D0C6A">
      <w:pPr>
        <w:spacing w:line="276" w:lineRule="auto"/>
        <w:jc w:val="both"/>
      </w:pPr>
    </w:p>
    <w:p w14:paraId="257C3C10" w14:textId="77777777" w:rsidR="007D0C6A" w:rsidRDefault="007D0C6A" w:rsidP="007D0C6A">
      <w:pPr>
        <w:spacing w:line="276" w:lineRule="auto"/>
        <w:ind w:left="705"/>
        <w:jc w:val="both"/>
      </w:pPr>
      <w:r>
        <w:t xml:space="preserve">Kötelező elhelyezés kapcsán a Szigetvár, Deák F. tér 16. sz. alatti Bérlők Házában 2 db összesen: </w:t>
      </w:r>
      <w:smartTag w:uri="urn:schemas-microsoft-com:office:smarttags" w:element="metricconverter">
        <w:smartTagPr>
          <w:attr w:name="ProductID" w:val="24,6 m2"/>
        </w:smartTagPr>
        <w:r>
          <w:t>24,6 m</w:t>
        </w:r>
        <w:r>
          <w:rPr>
            <w:vertAlign w:val="superscript"/>
          </w:rPr>
          <w:t>2</w:t>
        </w:r>
      </w:smartTag>
      <w:r>
        <w:t xml:space="preserve"> alapterületű irodahelyiség biztosítása.</w:t>
      </w:r>
    </w:p>
    <w:p w14:paraId="2A18FE2B" w14:textId="77777777" w:rsidR="007D0C6A" w:rsidRDefault="007D0C6A" w:rsidP="007D0C6A">
      <w:pPr>
        <w:spacing w:line="276" w:lineRule="auto"/>
        <w:jc w:val="both"/>
      </w:pPr>
    </w:p>
    <w:p w14:paraId="1BDB6E9F" w14:textId="77777777" w:rsidR="007D0C6A" w:rsidRDefault="007D0C6A" w:rsidP="007D0C6A">
      <w:pPr>
        <w:spacing w:line="276" w:lineRule="auto"/>
        <w:jc w:val="both"/>
      </w:pPr>
      <w:r>
        <w:t>2. Szigetvári Horvát Önkormányzat részére:</w:t>
      </w:r>
    </w:p>
    <w:p w14:paraId="4C2F89AD" w14:textId="77777777" w:rsidR="007D0C6A" w:rsidRDefault="007D0C6A" w:rsidP="007D0C6A">
      <w:pPr>
        <w:spacing w:line="276" w:lineRule="auto"/>
        <w:jc w:val="both"/>
      </w:pPr>
    </w:p>
    <w:p w14:paraId="56C1895D" w14:textId="77777777" w:rsidR="007D0C6A" w:rsidRDefault="007D0C6A" w:rsidP="007D0C6A">
      <w:pPr>
        <w:spacing w:line="276" w:lineRule="auto"/>
        <w:ind w:left="705"/>
        <w:jc w:val="both"/>
      </w:pPr>
      <w:r>
        <w:t xml:space="preserve">Kötelező elhelyezés kapcsán a Szigetvár, Deák F. tér 16. sz. alatti Bérlők Házában 1 db összesen: </w:t>
      </w:r>
      <w:smartTag w:uri="urn:schemas-microsoft-com:office:smarttags" w:element="metricconverter">
        <w:smartTagPr>
          <w:attr w:name="ProductID" w:val="17,9 m2"/>
        </w:smartTagPr>
        <w:r>
          <w:t>17,9</w:t>
        </w:r>
        <w:r w:rsidRPr="00597F40">
          <w:t xml:space="preserve"> </w:t>
        </w:r>
        <w:r>
          <w:t>m</w:t>
        </w:r>
        <w:r>
          <w:rPr>
            <w:vertAlign w:val="superscript"/>
          </w:rPr>
          <w:t>2</w:t>
        </w:r>
      </w:smartTag>
      <w:r>
        <w:t xml:space="preserve"> alapterületű (Szigetvári Német Önkormányzattal közösen használt) irodahelyiség biztosítása.</w:t>
      </w:r>
    </w:p>
    <w:p w14:paraId="59BF949E" w14:textId="77777777" w:rsidR="007D0C6A" w:rsidRDefault="007D0C6A" w:rsidP="007D0C6A">
      <w:pPr>
        <w:spacing w:line="276" w:lineRule="auto"/>
        <w:jc w:val="both"/>
      </w:pPr>
    </w:p>
    <w:p w14:paraId="25B55774" w14:textId="77777777" w:rsidR="007D0C6A" w:rsidRDefault="007D0C6A" w:rsidP="007D0C6A">
      <w:pPr>
        <w:spacing w:line="276" w:lineRule="auto"/>
        <w:jc w:val="both"/>
      </w:pPr>
      <w:r>
        <w:t>3. Szigetvári Német Önkormányzat részére:</w:t>
      </w:r>
    </w:p>
    <w:p w14:paraId="38E8BFC1" w14:textId="77777777" w:rsidR="007D0C6A" w:rsidRDefault="007D0C6A" w:rsidP="007D0C6A">
      <w:pPr>
        <w:spacing w:line="276" w:lineRule="auto"/>
        <w:jc w:val="both"/>
      </w:pPr>
    </w:p>
    <w:p w14:paraId="541114F2" w14:textId="77777777" w:rsidR="007D0C6A" w:rsidRDefault="007D0C6A" w:rsidP="007D0C6A">
      <w:pPr>
        <w:spacing w:line="276" w:lineRule="auto"/>
        <w:ind w:left="705"/>
        <w:jc w:val="both"/>
      </w:pPr>
      <w:r>
        <w:tab/>
        <w:t xml:space="preserve">Kötelező elhelyezés kapcsán a Szigetvár, Deák F. tér 16. sz. alatti Bérlők Házában 1 db összesen: </w:t>
      </w:r>
      <w:smartTag w:uri="urn:schemas-microsoft-com:office:smarttags" w:element="metricconverter">
        <w:smartTagPr>
          <w:attr w:name="ProductID" w:val="17,9 m2"/>
        </w:smartTagPr>
        <w:r>
          <w:t>17,9</w:t>
        </w:r>
        <w:r w:rsidRPr="00597F40">
          <w:t xml:space="preserve"> </w:t>
        </w:r>
        <w:r>
          <w:t>m</w:t>
        </w:r>
        <w:r>
          <w:rPr>
            <w:vertAlign w:val="superscript"/>
          </w:rPr>
          <w:t>2</w:t>
        </w:r>
      </w:smartTag>
      <w:r>
        <w:t xml:space="preserve"> alapterületű (Szigetvári Horvát Önkormányzattal közösen használt) irodahelyiség biztosítása.</w:t>
      </w:r>
    </w:p>
    <w:p w14:paraId="2E5D6CD8" w14:textId="77777777" w:rsidR="007D0C6A" w:rsidRDefault="007D0C6A" w:rsidP="007D0C6A">
      <w:pPr>
        <w:spacing w:line="276" w:lineRule="auto"/>
        <w:jc w:val="both"/>
      </w:pPr>
    </w:p>
    <w:p w14:paraId="512567A5" w14:textId="77777777" w:rsidR="007D0C6A" w:rsidRDefault="007D0C6A" w:rsidP="007D0C6A">
      <w:pPr>
        <w:spacing w:line="276" w:lineRule="auto"/>
        <w:jc w:val="both"/>
      </w:pPr>
      <w:r>
        <w:t>A települési nemzetiségi önkormányzatok az átadott vagyont testületi tevékenységükhöz szabadon használhatják.</w:t>
      </w:r>
    </w:p>
    <w:p w14:paraId="2306023B" w14:textId="77777777" w:rsidR="007D0C6A" w:rsidRDefault="007D0C6A" w:rsidP="007D0C6A">
      <w:pPr>
        <w:spacing w:line="276" w:lineRule="auto"/>
        <w:jc w:val="both"/>
      </w:pPr>
    </w:p>
    <w:p w14:paraId="38904A61" w14:textId="77777777" w:rsidR="007D0C6A" w:rsidRDefault="007D0C6A" w:rsidP="007D0C6A">
      <w:pPr>
        <w:spacing w:line="276" w:lineRule="auto"/>
        <w:jc w:val="both"/>
      </w:pPr>
      <w:r>
        <w:t>A települési nemzetiségi önkormányzatok kötelesek az átadott vagyon állagát megőrizni, annak romlásáról a Hivatalt haladéktalanul értesíteni.</w:t>
      </w:r>
    </w:p>
    <w:p w14:paraId="128246E1" w14:textId="77777777" w:rsidR="007D0C6A" w:rsidRDefault="007D0C6A" w:rsidP="007D0C6A">
      <w:pPr>
        <w:spacing w:line="276" w:lineRule="auto"/>
        <w:jc w:val="both"/>
      </w:pPr>
    </w:p>
    <w:p w14:paraId="2AE5DED6" w14:textId="77777777" w:rsidR="007D0C6A" w:rsidRDefault="007D0C6A" w:rsidP="007D0C6A">
      <w:pPr>
        <w:spacing w:line="276" w:lineRule="auto"/>
        <w:jc w:val="both"/>
      </w:pPr>
      <w:r>
        <w:t>A települési nemzetiségi önkormányzatok felelnek az átadott vagyonban bekövetkezett minden kárért, amelyet a települési nemzetiségi önkormányzat tagjai vagy hozzájárulásukkal a helyszínen tartózkodó személyek okoztak.</w:t>
      </w:r>
    </w:p>
    <w:p w14:paraId="4FA27AF4" w14:textId="77777777" w:rsidR="007D0C6A" w:rsidRDefault="007D0C6A" w:rsidP="007D0C6A">
      <w:pPr>
        <w:jc w:val="both"/>
        <w:rPr>
          <w:szCs w:val="24"/>
        </w:rPr>
      </w:pPr>
    </w:p>
    <w:p w14:paraId="2753B9DC" w14:textId="77777777" w:rsidR="00D42011" w:rsidRDefault="00D42011"/>
    <w:sectPr w:rsidR="00D42011" w:rsidSect="00D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8106" w14:textId="77777777" w:rsidR="00E85211" w:rsidRDefault="00E85211" w:rsidP="007D0C6A">
      <w:r>
        <w:separator/>
      </w:r>
    </w:p>
  </w:endnote>
  <w:endnote w:type="continuationSeparator" w:id="0">
    <w:p w14:paraId="1BA04464" w14:textId="77777777" w:rsidR="00E85211" w:rsidRDefault="00E85211" w:rsidP="007D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F0E2" w14:textId="77777777" w:rsidR="00E85211" w:rsidRDefault="00E85211" w:rsidP="007D0C6A">
      <w:r>
        <w:separator/>
      </w:r>
    </w:p>
  </w:footnote>
  <w:footnote w:type="continuationSeparator" w:id="0">
    <w:p w14:paraId="30020AE8" w14:textId="77777777" w:rsidR="00E85211" w:rsidRDefault="00E85211" w:rsidP="007D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A"/>
    <w:rsid w:val="007B0A30"/>
    <w:rsid w:val="007D0C6A"/>
    <w:rsid w:val="00885E98"/>
    <w:rsid w:val="00D42011"/>
    <w:rsid w:val="00E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21550F2"/>
  <w15:chartTrackingRefBased/>
  <w15:docId w15:val="{C0DF87D3-0447-43C3-AADA-325DB2C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0C6A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7D0C6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7D0C6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D0C6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Gruber Adél</dc:creator>
  <cp:keywords/>
  <cp:lastModifiedBy>Virth Viktória Noémi</cp:lastModifiedBy>
  <cp:revision>2</cp:revision>
  <dcterms:created xsi:type="dcterms:W3CDTF">2021-04-15T12:23:00Z</dcterms:created>
  <dcterms:modified xsi:type="dcterms:W3CDTF">2021-04-15T12:23:00Z</dcterms:modified>
</cp:coreProperties>
</file>