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70" w:rsidRPr="00FC3647" w:rsidRDefault="00666970" w:rsidP="006B262B">
      <w:pPr>
        <w:pStyle w:val="MellkletCm"/>
        <w:spacing w:before="240"/>
        <w:jc w:val="right"/>
        <w:rPr>
          <w:b/>
          <w:i w:val="0"/>
          <w:u w:val="none"/>
        </w:rPr>
      </w:pPr>
      <w:r w:rsidRPr="00FC3647">
        <w:rPr>
          <w:b/>
          <w:i w:val="0"/>
          <w:u w:val="none"/>
        </w:rPr>
        <w:t>2. melléklet</w:t>
      </w:r>
    </w:p>
    <w:p w:rsidR="00666970" w:rsidRPr="00F2247D" w:rsidRDefault="00666970" w:rsidP="00666970">
      <w:pPr>
        <w:pStyle w:val="FejezetCm"/>
        <w:spacing w:before="240"/>
        <w:outlineLvl w:val="3"/>
        <w:rPr>
          <w:i w:val="0"/>
        </w:rPr>
      </w:pPr>
      <w:r w:rsidRPr="00F2247D">
        <w:rPr>
          <w:i w:val="0"/>
        </w:rPr>
        <w:t>A Képviselő-testület által a polgármesterre, a bizottságokra és a jegyzőre az SZMSZ-ben átruházott hatáskörök</w:t>
      </w:r>
    </w:p>
    <w:p w:rsidR="00666970" w:rsidRPr="00F2247D" w:rsidRDefault="00666970" w:rsidP="00666970">
      <w:pPr>
        <w:pStyle w:val="NormlCm"/>
        <w:spacing w:before="240"/>
        <w:outlineLvl w:val="4"/>
        <w:rPr>
          <w:b/>
        </w:rPr>
      </w:pPr>
      <w:r w:rsidRPr="00F2247D">
        <w:rPr>
          <w:b/>
        </w:rPr>
        <w:t>1. Polgármesterre átruházott hatáskörök</w:t>
      </w:r>
    </w:p>
    <w:p w:rsidR="00666970" w:rsidRDefault="00666970" w:rsidP="00666970">
      <w:pPr>
        <w:pStyle w:val="Bekezds"/>
        <w:ind w:firstLine="204"/>
        <w:jc w:val="both"/>
      </w:pPr>
      <w:r>
        <w:t>1. Kiadja azon jognyilatkozatot, amely szerint a külföldi állampolgár ingatlanszerzése sért-e önkormányzati érdeket a mező- és erdőgazdálkodási hasznosítású földnek nem minősülő ingatlanokat érintő tulajdonszerzésről szóló 251/2014. (X. 2.) Korm. rendelet alapján.</w:t>
      </w:r>
    </w:p>
    <w:p w:rsidR="00666970" w:rsidRDefault="00666970" w:rsidP="00666970">
      <w:pPr>
        <w:pStyle w:val="Bekezds"/>
        <w:ind w:firstLine="198"/>
        <w:jc w:val="both"/>
      </w:pPr>
      <w:r>
        <w:t>2. Megköti a helyi nemzetiségi önkormányzatokkal az államháztartásról szóló törvény szerinti együttműködési megállapodást.</w:t>
      </w:r>
    </w:p>
    <w:p w:rsidR="00666970" w:rsidRDefault="00666970" w:rsidP="00666970">
      <w:pPr>
        <w:pStyle w:val="Bekezds"/>
        <w:ind w:firstLine="198"/>
        <w:jc w:val="both"/>
      </w:pPr>
      <w:r>
        <w:t>3. Döntéshozó az Önkormányzat közbeszerzési eljárásaiban, elkészíti és kiadja - a közbeszerzésekről szóló törvény rendelkezései alapján - az Önkormányzat közbeszerzési szabályzatát.</w:t>
      </w:r>
    </w:p>
    <w:p w:rsidR="00666970" w:rsidRDefault="00666970" w:rsidP="00666970">
      <w:pPr>
        <w:pStyle w:val="Bekezds"/>
        <w:ind w:firstLine="204"/>
        <w:jc w:val="both"/>
      </w:pPr>
      <w:r>
        <w:t>4. Gyakorolja a Közalkalmazottak Házában (1119 Budapest, Bornemissza utca 37/</w:t>
      </w:r>
      <w:proofErr w:type="gramStart"/>
      <w:r>
        <w:t>A</w:t>
      </w:r>
      <w:proofErr w:type="gramEnd"/>
      <w:r>
        <w:t xml:space="preserve">. és 37/B.) lévő bérleményekre vonatkozó, </w:t>
      </w:r>
      <w:proofErr w:type="spellStart"/>
      <w:r>
        <w:t>Újbuda</w:t>
      </w:r>
      <w:proofErr w:type="spellEnd"/>
      <w:r>
        <w:t xml:space="preserve"> Önkormányzatát megillető bérlőkijelölési jogot a Szociális és Egészségügyi Bizottság javaslata alapján, a Polgármesteri Hivatal dolgozói esetében a Jegyző véleményének kikérését követően.</w:t>
      </w:r>
    </w:p>
    <w:p w:rsidR="00666970" w:rsidRDefault="00666970" w:rsidP="00666970">
      <w:pPr>
        <w:pStyle w:val="Bekezds"/>
        <w:ind w:firstLine="198"/>
        <w:jc w:val="both"/>
      </w:pPr>
      <w:r>
        <w:t>5. Elvégzi a Képviselő-testület vagy a bizottságok által elfogadott alapító okiratok nem érdemi javítását:</w:t>
      </w:r>
    </w:p>
    <w:p w:rsidR="00666970" w:rsidRDefault="00500F54" w:rsidP="00666970">
      <w:pPr>
        <w:pStyle w:val="Bekezds"/>
        <w:ind w:firstLine="198"/>
        <w:jc w:val="both"/>
      </w:pPr>
      <w:proofErr w:type="gramStart"/>
      <w:r>
        <w:t>a</w:t>
      </w:r>
      <w:proofErr w:type="gramEnd"/>
      <w:r>
        <w:t>)</w:t>
      </w:r>
      <w:r w:rsidR="00666970">
        <w:t xml:space="preserve"> címek, elnevezések pontosítása,</w:t>
      </w:r>
    </w:p>
    <w:p w:rsidR="00666970" w:rsidRDefault="00500F54" w:rsidP="00666970">
      <w:pPr>
        <w:pStyle w:val="Bekezds"/>
        <w:ind w:firstLine="198"/>
        <w:jc w:val="both"/>
      </w:pPr>
      <w:r>
        <w:t xml:space="preserve">b) </w:t>
      </w:r>
      <w:r w:rsidR="00666970">
        <w:t>elírások, helyesírási és stilisztikai hibák javítása,</w:t>
      </w:r>
    </w:p>
    <w:p w:rsidR="00666970" w:rsidRDefault="00500F54" w:rsidP="00666970">
      <w:pPr>
        <w:pStyle w:val="Bekezds"/>
        <w:ind w:firstLine="198"/>
        <w:jc w:val="both"/>
      </w:pPr>
      <w:r>
        <w:t xml:space="preserve">c) </w:t>
      </w:r>
      <w:r w:rsidR="00666970">
        <w:t>általános formai követelményekhez igazítás és</w:t>
      </w:r>
    </w:p>
    <w:p w:rsidR="00666970" w:rsidRDefault="00500F54" w:rsidP="00666970">
      <w:pPr>
        <w:pStyle w:val="Bekezds"/>
        <w:ind w:firstLine="198"/>
        <w:jc w:val="both"/>
      </w:pPr>
      <w:r>
        <w:t xml:space="preserve">d) </w:t>
      </w:r>
      <w:r w:rsidR="00666970">
        <w:t>minden olyan módosítás, amely nem keletkeztet új feladatot, pénzügyi kötelezettséggel nem jár és a működés feltételeit nem változtatja meg.</w:t>
      </w:r>
    </w:p>
    <w:p w:rsidR="00666970" w:rsidRDefault="00666970" w:rsidP="00666970">
      <w:pPr>
        <w:pStyle w:val="Bekezds"/>
        <w:ind w:firstLine="198"/>
        <w:jc w:val="both"/>
      </w:pPr>
      <w:r>
        <w:t>6. Dönt a Szociális és Egészségügyi Bizottság javaslata alapján életjáradéki szerződés megkötéséről.</w:t>
      </w:r>
    </w:p>
    <w:p w:rsidR="00500F54" w:rsidRPr="00C1182C" w:rsidRDefault="00500F54" w:rsidP="00666970">
      <w:pPr>
        <w:pStyle w:val="Bekezds"/>
        <w:ind w:firstLine="198"/>
        <w:jc w:val="both"/>
      </w:pPr>
      <w:bookmarkStart w:id="0" w:name="_GoBack"/>
      <w:r w:rsidRPr="00C1182C">
        <w:t>7. Dönt a településkép védelméről szóló 2016. évi LXXIV. törvény 8. § (2) bekezdésében foglalt eljárásokban (településképi bejelentési eljárás, településképi véleményezési eljárás, településképi kötelezési eljárás - utóbbi eljárás esetében a döntés kiterjed a végrehajtás foganatosítására is.)</w:t>
      </w:r>
    </w:p>
    <w:bookmarkEnd w:id="0"/>
    <w:p w:rsidR="00666970" w:rsidRPr="00F2247D" w:rsidRDefault="00666970" w:rsidP="00666970">
      <w:pPr>
        <w:pStyle w:val="NormlCm"/>
        <w:spacing w:before="240"/>
        <w:outlineLvl w:val="4"/>
        <w:rPr>
          <w:b/>
        </w:rPr>
      </w:pPr>
      <w:r w:rsidRPr="00F2247D">
        <w:rPr>
          <w:b/>
        </w:rPr>
        <w:t>2. A bizottságokra átruházott hatáskörök</w:t>
      </w:r>
    </w:p>
    <w:p w:rsidR="00666970" w:rsidRPr="00FC3647" w:rsidRDefault="00500F54" w:rsidP="00666970">
      <w:pPr>
        <w:pStyle w:val="VastagCm"/>
        <w:spacing w:before="240"/>
        <w:outlineLvl w:val="5"/>
      </w:pPr>
      <w:r>
        <w:t xml:space="preserve">2/A. </w:t>
      </w:r>
      <w:r w:rsidR="00666970" w:rsidRPr="00FC3647">
        <w:t>Gazdasági Bizottság (GB)</w:t>
      </w:r>
    </w:p>
    <w:p w:rsidR="00666970" w:rsidRDefault="00666970" w:rsidP="00666970">
      <w:pPr>
        <w:pStyle w:val="Bekezds"/>
        <w:ind w:firstLine="204"/>
        <w:jc w:val="both"/>
      </w:pPr>
      <w:r>
        <w:t>1. Az épített környezet alakításáról és védelméről szóló 1997. évi LXXVIII. törvény 30/</w:t>
      </w:r>
      <w:proofErr w:type="gramStart"/>
      <w:r>
        <w:t>A</w:t>
      </w:r>
      <w:proofErr w:type="gramEnd"/>
      <w:r>
        <w:t>. § (2) bekezdése alapján településrendezési szerződés megkötése előtt dönt a cél megvalósítója által készített telepítési tanulmánytervről.</w:t>
      </w:r>
    </w:p>
    <w:p w:rsidR="00666970" w:rsidRDefault="00666970" w:rsidP="006B262B">
      <w:pPr>
        <w:pStyle w:val="Bekezds"/>
        <w:ind w:firstLine="198"/>
        <w:jc w:val="both"/>
      </w:pPr>
      <w:r>
        <w:t>2. A településfejlesztési koncepcióról, az integrált településfejlesztési stratégiáról és a településrendezési eszközökről, valamint egyes településrendezési sajátos jogintézményekről szóló 314/2012. (XI. 8.) Korm. rendelet 39. § (2) bekezdése alapján dönt a településrendezési eszközök véleményezése során beérkezett vélemények elfogadásáról vagy el nem fogadásáról.</w:t>
      </w:r>
    </w:p>
    <w:p w:rsidR="00666970" w:rsidRDefault="00666970" w:rsidP="00666970">
      <w:pPr>
        <w:pStyle w:val="Bekezds"/>
        <w:ind w:firstLine="198"/>
        <w:jc w:val="both"/>
      </w:pPr>
      <w:r>
        <w:t xml:space="preserve">3. Dönt - az alapítványi forrás átvétele és átadása kivételével - a </w:t>
      </w:r>
      <w:proofErr w:type="spellStart"/>
      <w:r>
        <w:t>Gabányi</w:t>
      </w:r>
      <w:proofErr w:type="spellEnd"/>
      <w:r>
        <w:t xml:space="preserve"> László Sportcsarnok és a Nyéki Imre </w:t>
      </w:r>
      <w:proofErr w:type="gramStart"/>
      <w:r>
        <w:t>Uszoda</w:t>
      </w:r>
      <w:proofErr w:type="gramEnd"/>
      <w:r>
        <w:t xml:space="preserve"> fejlesztésére, felújítására kötött stratégiai együttműködési megállapodást érintő módosításokról és kiegészítésekről.</w:t>
      </w:r>
    </w:p>
    <w:p w:rsidR="00500F54" w:rsidRDefault="00500F54" w:rsidP="00666970">
      <w:pPr>
        <w:pStyle w:val="Bekezds"/>
        <w:ind w:firstLine="198"/>
        <w:jc w:val="both"/>
      </w:pPr>
    </w:p>
    <w:p w:rsidR="00500F54" w:rsidRDefault="00500F54" w:rsidP="00666970">
      <w:pPr>
        <w:pStyle w:val="Bekezds"/>
        <w:ind w:firstLine="198"/>
        <w:jc w:val="both"/>
      </w:pPr>
    </w:p>
    <w:p w:rsidR="00500F54" w:rsidRDefault="00500F54" w:rsidP="00666970">
      <w:pPr>
        <w:pStyle w:val="Bekezds"/>
        <w:ind w:firstLine="198"/>
        <w:jc w:val="both"/>
      </w:pPr>
    </w:p>
    <w:p w:rsidR="00666970" w:rsidRDefault="00666970" w:rsidP="00666970">
      <w:pPr>
        <w:pStyle w:val="Bekezds"/>
        <w:ind w:firstLine="198"/>
        <w:jc w:val="both"/>
      </w:pPr>
      <w:r>
        <w:t>4. Dönt a szelektív hulladékgyűjtő szigetek létesítéséről és megszüntetéséről a kerületi önkormányzati tulajdonú közterületeken, és javaslatot tesz a fővárosi önkormányzati tulajdonú közterületeken szelektív hulladékgyűjtő szigetek létesítésére és megszüntetésére.</w:t>
      </w:r>
    </w:p>
    <w:p w:rsidR="00666970" w:rsidRDefault="00666970" w:rsidP="00666970">
      <w:pPr>
        <w:pStyle w:val="Bekezds"/>
        <w:ind w:firstLine="204"/>
        <w:jc w:val="both"/>
      </w:pPr>
      <w:r>
        <w:t xml:space="preserve">5. Dönt a közterület-felügyeletről szóló 1999. évi LXIII. törvény 7. § (3) bekezdése </w:t>
      </w:r>
      <w:proofErr w:type="gramStart"/>
      <w:r>
        <w:t>alapján</w:t>
      </w:r>
      <w:proofErr w:type="gramEnd"/>
      <w:r>
        <w:t xml:space="preserve"> a közterületen képfelvevő elhelyezéséről, valamint a képfelvevővel megfigyelt közterület kijelöléséről.</w:t>
      </w:r>
    </w:p>
    <w:p w:rsidR="00666970" w:rsidRDefault="00666970" w:rsidP="00666970">
      <w:pPr>
        <w:pStyle w:val="Bekezds"/>
        <w:ind w:firstLine="204"/>
        <w:jc w:val="both"/>
      </w:pPr>
      <w:r>
        <w:t>6. Előzetesen véleményezi a rendőrségről szóló 1994. évi XXXIV. törvény 42. § (3) bekezdése alapján elhelyezésre kerülő képfelvevő szükségességét, a képfelvevővel megfigyelt közterület kijelölését.</w:t>
      </w:r>
    </w:p>
    <w:p w:rsidR="00666970" w:rsidRPr="00225905" w:rsidRDefault="00500F54" w:rsidP="00666970">
      <w:pPr>
        <w:pStyle w:val="VastagCm"/>
        <w:spacing w:before="240"/>
        <w:outlineLvl w:val="5"/>
      </w:pPr>
      <w:r>
        <w:t xml:space="preserve">2/B. </w:t>
      </w:r>
      <w:r w:rsidR="00666970" w:rsidRPr="00225905">
        <w:t>Kulturális és Köznevelési Bizottság (KKB)</w:t>
      </w:r>
    </w:p>
    <w:p w:rsidR="00666970" w:rsidRDefault="00666970" w:rsidP="00666970">
      <w:pPr>
        <w:pStyle w:val="Bekezds"/>
        <w:ind w:firstLine="204"/>
        <w:jc w:val="both"/>
      </w:pPr>
      <w:r>
        <w:t>1. Az önkormányzat illetékességi területén belül fővárosi önkormányzati tulajdonú közterületeken vagy épületeken történő művészeti alkotások elhelyezése, áthelyezése vagy lebontása esetén a Fővárosi Önkormányzat megkeresése alapján megadja a kerületi önkormányzat hozzájárulását.</w:t>
      </w:r>
    </w:p>
    <w:p w:rsidR="00666970" w:rsidRDefault="00500F54" w:rsidP="00666970">
      <w:pPr>
        <w:pStyle w:val="Bekezds"/>
        <w:ind w:firstLine="198"/>
        <w:jc w:val="both"/>
      </w:pPr>
      <w:r>
        <w:t>2</w:t>
      </w:r>
      <w:r w:rsidR="00666970">
        <w:t>. Hozzájárul közművelődési és köznevelési intézményekben alapítványi és egyesületi székhely létesítéséhez.</w:t>
      </w:r>
    </w:p>
    <w:p w:rsidR="00666970" w:rsidRDefault="00500F54" w:rsidP="00666970">
      <w:pPr>
        <w:pStyle w:val="Bekezds"/>
        <w:ind w:firstLine="198"/>
        <w:jc w:val="both"/>
      </w:pPr>
      <w:r>
        <w:t>3</w:t>
      </w:r>
      <w:r w:rsidR="00666970">
        <w:t>. Dönt az óvodába történő jelentkezés módjáról, az óvodai általános felvételi időpontról, az óvodák nyitva, zárva tartásáról.</w:t>
      </w:r>
    </w:p>
    <w:p w:rsidR="00666970" w:rsidRDefault="00500F54" w:rsidP="00666970">
      <w:pPr>
        <w:pStyle w:val="Bekezds"/>
        <w:ind w:firstLine="198"/>
        <w:jc w:val="both"/>
      </w:pPr>
      <w:r>
        <w:t>4</w:t>
      </w:r>
      <w:r w:rsidR="00666970">
        <w:t>. Meghatározza az adott nevelési évben indítható óvodai csoportok számát, továbbá engedélyezi a maximális csoport-létszámtól való eltérést.</w:t>
      </w:r>
    </w:p>
    <w:p w:rsidR="00666970" w:rsidRDefault="00500F54" w:rsidP="00666970">
      <w:pPr>
        <w:pStyle w:val="Bekezds"/>
        <w:ind w:firstLine="198"/>
        <w:jc w:val="both"/>
      </w:pPr>
      <w:r>
        <w:t>5</w:t>
      </w:r>
      <w:r w:rsidR="00666970">
        <w:t>. Elfogadja az óvodák továbbképzési programjának és az ahhoz igazodó beiskolázási tervének módosítását, amennyiben az azokban foglaltak az óvodák aktuális költségvetésén túl nem rónak többletköltséget az Önkormányzatra.</w:t>
      </w:r>
    </w:p>
    <w:p w:rsidR="00666970" w:rsidRDefault="00500F54" w:rsidP="00666970">
      <w:pPr>
        <w:pStyle w:val="Bekezds"/>
        <w:ind w:firstLine="198"/>
        <w:jc w:val="both"/>
      </w:pPr>
      <w:r>
        <w:t>6</w:t>
      </w:r>
      <w:r w:rsidR="00666970">
        <w:t>. A fenntartó nevében véleményt nyilvánít a köznevelési intézmények munkatervéről.</w:t>
      </w:r>
    </w:p>
    <w:p w:rsidR="00666970" w:rsidRDefault="00500F54" w:rsidP="00666970">
      <w:pPr>
        <w:pStyle w:val="Bekezds"/>
        <w:ind w:firstLine="198"/>
        <w:jc w:val="both"/>
      </w:pPr>
      <w:r>
        <w:t>7</w:t>
      </w:r>
      <w:r w:rsidR="00666970">
        <w:t>.</w:t>
      </w:r>
      <w:r>
        <w:t xml:space="preserve"> </w:t>
      </w:r>
      <w:r w:rsidR="00666970">
        <w:t>Gyakorolja az egyetértési jogot a saját intézmények pályázataihoz szükséges fenntartói nyilatkozat aláírásával kapcsolatban</w:t>
      </w:r>
    </w:p>
    <w:p w:rsidR="00666970" w:rsidRDefault="00666970" w:rsidP="00666970">
      <w:pPr>
        <w:pStyle w:val="Bekezds"/>
        <w:ind w:firstLine="198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 xml:space="preserve">) </w:t>
      </w:r>
      <w:r>
        <w:t>ha nem szükséges önrész,</w:t>
      </w:r>
    </w:p>
    <w:p w:rsidR="00666970" w:rsidRDefault="00666970" w:rsidP="00666970">
      <w:pPr>
        <w:pStyle w:val="Bekezds"/>
        <w:ind w:firstLine="198"/>
        <w:jc w:val="both"/>
      </w:pPr>
      <w:r>
        <w:rPr>
          <w:i/>
          <w:iCs/>
        </w:rPr>
        <w:t xml:space="preserve">b) </w:t>
      </w:r>
      <w:r>
        <w:t>önrész esetén addig az összeghatárig, amit a mindenkori költségvetési rendelet a Polgármester döntési hatáskörébe helyez.</w:t>
      </w:r>
    </w:p>
    <w:p w:rsidR="00666970" w:rsidRPr="00225905" w:rsidRDefault="00500F54" w:rsidP="00666970">
      <w:pPr>
        <w:pStyle w:val="VastagCm"/>
        <w:spacing w:before="240"/>
        <w:outlineLvl w:val="5"/>
      </w:pPr>
      <w:r>
        <w:t xml:space="preserve">2/C. </w:t>
      </w:r>
      <w:r w:rsidR="00666970" w:rsidRPr="00225905">
        <w:t>Szociális és Egészségügyi Bizottság (SZEB)</w:t>
      </w:r>
    </w:p>
    <w:p w:rsidR="00666970" w:rsidRDefault="00666970" w:rsidP="00666970">
      <w:pPr>
        <w:pStyle w:val="Bekezds"/>
        <w:ind w:firstLine="204"/>
        <w:jc w:val="both"/>
      </w:pPr>
      <w:r>
        <w:t>1. Dönt az egészségügyi alapellátási praxis ellátására szóló megbízási szerződés megkötéséről.</w:t>
      </w:r>
    </w:p>
    <w:p w:rsidR="00666970" w:rsidRDefault="00666970" w:rsidP="00666970">
      <w:pPr>
        <w:pStyle w:val="Bekezds"/>
        <w:ind w:firstLine="198"/>
        <w:jc w:val="both"/>
      </w:pPr>
      <w:r>
        <w:t>2. Az egészségügyi szolgáltatót, vagy gyógyszertárat érintő hatósági eljárásban önkormányzati állásfoglalást, véleményt ad ki.</w:t>
      </w:r>
    </w:p>
    <w:p w:rsidR="00666970" w:rsidRDefault="00500F54" w:rsidP="00666970">
      <w:pPr>
        <w:pStyle w:val="Bekezds"/>
        <w:ind w:firstLine="198"/>
        <w:jc w:val="both"/>
      </w:pPr>
      <w:r>
        <w:t>3</w:t>
      </w:r>
      <w:r w:rsidR="00666970">
        <w:t>. Dönt a lakások és helyiségek bérletére, valamint az elidegenítésükre vonatkozó egyes szabályokról szóló 1993. évi LXXVIII. törvény (</w:t>
      </w:r>
      <w:proofErr w:type="spellStart"/>
      <w:r w:rsidR="00666970">
        <w:t>Ltv</w:t>
      </w:r>
      <w:proofErr w:type="spellEnd"/>
      <w:r w:rsidR="00666970">
        <w:t>.) 85/F. §</w:t>
      </w:r>
      <w:proofErr w:type="spellStart"/>
      <w:r w:rsidR="00666970">
        <w:t>-ában</w:t>
      </w:r>
      <w:proofErr w:type="spellEnd"/>
      <w:r w:rsidR="00666970">
        <w:t xml:space="preserve"> biztosított önkormányzati elővásárlási jog gyakorlásáról az </w:t>
      </w:r>
      <w:proofErr w:type="spellStart"/>
      <w:r w:rsidR="00666970">
        <w:t>Ltv</w:t>
      </w:r>
      <w:proofErr w:type="spellEnd"/>
      <w:r w:rsidR="00666970">
        <w:t>. 85/F. §</w:t>
      </w:r>
      <w:proofErr w:type="spellStart"/>
      <w:r w:rsidR="00666970">
        <w:t>-</w:t>
      </w:r>
      <w:proofErr w:type="gramStart"/>
      <w:r w:rsidR="00666970">
        <w:t>a</w:t>
      </w:r>
      <w:proofErr w:type="spellEnd"/>
      <w:proofErr w:type="gramEnd"/>
      <w:r w:rsidR="00666970">
        <w:t xml:space="preserve"> alapján meghatározott kényszerértékesítési eljárásokban az Önkormányzat részvétele és a nevében meghozott tulajdonosi döntések érdekében.</w:t>
      </w:r>
    </w:p>
    <w:p w:rsidR="00666970" w:rsidRDefault="00500F54" w:rsidP="00666970">
      <w:pPr>
        <w:pStyle w:val="Bekezds"/>
        <w:ind w:firstLine="198"/>
        <w:jc w:val="both"/>
      </w:pPr>
      <w:r>
        <w:t>4</w:t>
      </w:r>
      <w:r w:rsidR="00666970">
        <w:t>. Fenntartói hozzájárulást ad a szociális, gyermekvédelmi és egészségügyi intézményekben alapítványi és egyesületi székhely létesítéséhez.</w:t>
      </w:r>
    </w:p>
    <w:p w:rsidR="00666970" w:rsidRDefault="00500F54" w:rsidP="00666970">
      <w:pPr>
        <w:pStyle w:val="Bekezds"/>
        <w:ind w:firstLine="198"/>
        <w:jc w:val="both"/>
      </w:pPr>
      <w:r>
        <w:t>5</w:t>
      </w:r>
      <w:r w:rsidR="00666970">
        <w:t>. Gyakorolja az egyetértési jogot a saját intézmények pályázataihoz szükséges fenntartói nyilatkozat aláírásával kapcsolatban</w:t>
      </w:r>
    </w:p>
    <w:p w:rsidR="00666970" w:rsidRDefault="00666970" w:rsidP="00666970">
      <w:pPr>
        <w:pStyle w:val="Bekezds"/>
        <w:ind w:firstLine="198"/>
        <w:jc w:val="both"/>
      </w:pPr>
      <w:proofErr w:type="gramStart"/>
      <w:r>
        <w:rPr>
          <w:i/>
          <w:iCs/>
        </w:rPr>
        <w:t>a</w:t>
      </w:r>
      <w:proofErr w:type="gramEnd"/>
      <w:r>
        <w:rPr>
          <w:i/>
          <w:iCs/>
        </w:rPr>
        <w:t>)</w:t>
      </w:r>
      <w:r>
        <w:t xml:space="preserve"> ha nem szükséges önrész,</w:t>
      </w:r>
    </w:p>
    <w:p w:rsidR="00666970" w:rsidRDefault="00666970" w:rsidP="00666970">
      <w:pPr>
        <w:pStyle w:val="Bekezds"/>
        <w:ind w:firstLine="198"/>
        <w:jc w:val="both"/>
      </w:pPr>
      <w:r>
        <w:rPr>
          <w:i/>
          <w:iCs/>
        </w:rPr>
        <w:t>b)</w:t>
      </w:r>
      <w:r>
        <w:t xml:space="preserve"> önrész esetén addig az összeghatárig, amit a mindenkori költségvetési rendelet a Polgármester döntési hatáskörébe helyez.</w:t>
      </w:r>
    </w:p>
    <w:p w:rsidR="00666970" w:rsidRPr="00225905" w:rsidRDefault="00500F54" w:rsidP="00666970">
      <w:pPr>
        <w:pStyle w:val="VastagCm"/>
        <w:spacing w:before="240"/>
        <w:outlineLvl w:val="5"/>
      </w:pPr>
      <w:r>
        <w:lastRenderedPageBreak/>
        <w:t xml:space="preserve">2/D. </w:t>
      </w:r>
      <w:r w:rsidR="00666970" w:rsidRPr="00225905">
        <w:t>Vagyonnyilatkozatot Ellenőrző Bizottság (VEB)</w:t>
      </w:r>
    </w:p>
    <w:p w:rsidR="00666970" w:rsidRDefault="00666970" w:rsidP="00666970">
      <w:pPr>
        <w:pStyle w:val="Bekezds"/>
        <w:ind w:firstLine="204"/>
        <w:jc w:val="both"/>
      </w:pPr>
      <w:r>
        <w:t>1. Dönt az ülésről igazolatlanul távol maradt képviselők és bizottsági tagok esetében a tiszteletdíj csökkentéséről vagy megvonásáról.</w:t>
      </w:r>
    </w:p>
    <w:p w:rsidR="00666970" w:rsidRDefault="00666970" w:rsidP="00666970">
      <w:pPr>
        <w:pStyle w:val="Bekezds"/>
        <w:ind w:firstLine="198"/>
        <w:jc w:val="both"/>
      </w:pPr>
      <w:r>
        <w:t xml:space="preserve">2. Dönt a képviselők és a bizottsági tagok esetében a - </w:t>
      </w:r>
      <w:proofErr w:type="spellStart"/>
      <w:r>
        <w:t>Mötv</w:t>
      </w:r>
      <w:proofErr w:type="spellEnd"/>
      <w:r>
        <w:t>. 49. § (1) bekezdése szerinti - személyes érintettségnek a szavazás előtti bejelentési kötelezettsége elmulasztása esetén a mulasztó képviselő vagy bizottsági tag tiszteletdíjának megvonásáról vagy mérsékléséről.</w:t>
      </w:r>
    </w:p>
    <w:p w:rsidR="00500F54" w:rsidRDefault="00500F54" w:rsidP="00666970">
      <w:pPr>
        <w:pStyle w:val="NormlCm"/>
        <w:spacing w:before="240"/>
        <w:outlineLvl w:val="4"/>
        <w:rPr>
          <w:b/>
        </w:rPr>
      </w:pPr>
    </w:p>
    <w:p w:rsidR="00666970" w:rsidRPr="00F2247D" w:rsidRDefault="00666970" w:rsidP="00666970">
      <w:pPr>
        <w:pStyle w:val="NormlCm"/>
        <w:spacing w:before="240"/>
        <w:outlineLvl w:val="4"/>
        <w:rPr>
          <w:b/>
        </w:rPr>
      </w:pPr>
      <w:r w:rsidRPr="00F2247D">
        <w:rPr>
          <w:b/>
        </w:rPr>
        <w:t>3. Jegyzőre átruházott hatáskörök</w:t>
      </w:r>
    </w:p>
    <w:p w:rsidR="00666970" w:rsidRDefault="00666970" w:rsidP="00666970">
      <w:pPr>
        <w:pStyle w:val="Bekezds"/>
        <w:ind w:firstLine="204"/>
        <w:jc w:val="both"/>
      </w:pPr>
      <w:r>
        <w:t xml:space="preserve">1. A közterület- és városrésznevek megállapításáról, azok jelöléséről, valamint a házszám-megállapítás szabályairól szóló 94/2012. (XII. 27.) Főv. Kgy. </w:t>
      </w:r>
      <w:proofErr w:type="gramStart"/>
      <w:r>
        <w:t>rendelet</w:t>
      </w:r>
      <w:proofErr w:type="gramEnd"/>
      <w:r>
        <w:t xml:space="preserve"> 20. § (3) bekezdése alapján ellátja a házszámok megállapításával, megváltoztatásával kapcsolatos feladatokat.</w:t>
      </w:r>
    </w:p>
    <w:p w:rsidR="00666970" w:rsidRDefault="00666970" w:rsidP="00666970">
      <w:pPr>
        <w:pStyle w:val="Bekezds"/>
        <w:ind w:firstLine="198"/>
        <w:jc w:val="both"/>
      </w:pPr>
      <w:r>
        <w:t>2. Az állatok védelméről és kíméletéről szóló 1998. évi XXVIII. törvény 42/B. § alapján ellátja az eb összeírással, és eb nyilvántartással kapcsolatos feladatokat.</w:t>
      </w:r>
    </w:p>
    <w:p w:rsidR="00C23D69" w:rsidRPr="00021005" w:rsidRDefault="00C23D69" w:rsidP="00500F54">
      <w:pPr>
        <w:pStyle w:val="Bekezds"/>
        <w:jc w:val="both"/>
      </w:pPr>
    </w:p>
    <w:sectPr w:rsidR="00C23D69" w:rsidRPr="00021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970" w:rsidRDefault="00666970" w:rsidP="00666970">
      <w:r>
        <w:separator/>
      </w:r>
    </w:p>
  </w:endnote>
  <w:endnote w:type="continuationSeparator" w:id="0">
    <w:p w:rsidR="00666970" w:rsidRDefault="00666970" w:rsidP="00666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970" w:rsidRDefault="00666970" w:rsidP="00666970">
      <w:r>
        <w:separator/>
      </w:r>
    </w:p>
  </w:footnote>
  <w:footnote w:type="continuationSeparator" w:id="0">
    <w:p w:rsidR="00666970" w:rsidRDefault="00666970" w:rsidP="006669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970"/>
    <w:rsid w:val="00021005"/>
    <w:rsid w:val="00500F54"/>
    <w:rsid w:val="00666970"/>
    <w:rsid w:val="006B262B"/>
    <w:rsid w:val="00C1182C"/>
    <w:rsid w:val="00C2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666970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666970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666970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customStyle="1" w:styleId="NormlCm">
    <w:name w:val="NormálCím"/>
    <w:uiPriority w:val="99"/>
    <w:rsid w:val="00666970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VastagCm">
    <w:name w:val="VastagCím"/>
    <w:uiPriority w:val="99"/>
    <w:rsid w:val="00666970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6697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rsid w:val="00666970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FejezetCm">
    <w:name w:val="FejezetCím"/>
    <w:uiPriority w:val="99"/>
    <w:rsid w:val="00666970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2"/>
    </w:pPr>
    <w:rPr>
      <w:rFonts w:ascii="Times New Roman" w:eastAsiaTheme="minorEastAsia" w:hAnsi="Times New Roman" w:cs="Times New Roman"/>
      <w:b/>
      <w:bCs/>
      <w:i/>
      <w:iCs/>
      <w:sz w:val="24"/>
      <w:szCs w:val="24"/>
      <w:lang w:eastAsia="hu-HU"/>
    </w:rPr>
  </w:style>
  <w:style w:type="paragraph" w:customStyle="1" w:styleId="MellkletCm">
    <w:name w:val="MellékletCím"/>
    <w:uiPriority w:val="99"/>
    <w:rsid w:val="00666970"/>
    <w:pPr>
      <w:widowControl w:val="0"/>
      <w:autoSpaceDE w:val="0"/>
      <w:autoSpaceDN w:val="0"/>
      <w:adjustRightInd w:val="0"/>
      <w:spacing w:before="480" w:after="240" w:line="240" w:lineRule="auto"/>
      <w:outlineLvl w:val="2"/>
    </w:pPr>
    <w:rPr>
      <w:rFonts w:ascii="Times New Roman" w:eastAsiaTheme="minorEastAsia" w:hAnsi="Times New Roman" w:cs="Times New Roman"/>
      <w:i/>
      <w:iCs/>
      <w:sz w:val="24"/>
      <w:szCs w:val="24"/>
      <w:u w:val="single"/>
      <w:lang w:eastAsia="hu-HU"/>
    </w:rPr>
  </w:style>
  <w:style w:type="paragraph" w:customStyle="1" w:styleId="NormlCm">
    <w:name w:val="NormálCím"/>
    <w:uiPriority w:val="99"/>
    <w:rsid w:val="00666970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3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VastagCm">
    <w:name w:val="VastagCím"/>
    <w:uiPriority w:val="99"/>
    <w:rsid w:val="00666970"/>
    <w:pPr>
      <w:widowControl w:val="0"/>
      <w:autoSpaceDE w:val="0"/>
      <w:autoSpaceDN w:val="0"/>
      <w:adjustRightInd w:val="0"/>
      <w:spacing w:before="480" w:after="240" w:line="240" w:lineRule="auto"/>
      <w:jc w:val="center"/>
      <w:outlineLvl w:val="4"/>
    </w:pPr>
    <w:rPr>
      <w:rFonts w:ascii="Times New Roman" w:eastAsiaTheme="minorEastAsia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ttoth</dc:creator>
  <cp:lastModifiedBy>Image</cp:lastModifiedBy>
  <cp:revision>3</cp:revision>
  <dcterms:created xsi:type="dcterms:W3CDTF">2021-06-10T13:33:00Z</dcterms:created>
  <dcterms:modified xsi:type="dcterms:W3CDTF">2021-06-28T08:03:00Z</dcterms:modified>
</cp:coreProperties>
</file>