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87" w:rsidRDefault="00BB6887" w:rsidP="00BB6887">
      <w:pPr>
        <w:keepNext/>
        <w:keepLines/>
        <w:spacing w:after="0" w:line="240" w:lineRule="auto"/>
        <w:jc w:val="right"/>
        <w:rPr>
          <w:b/>
          <w:noProof/>
          <w:sz w:val="24"/>
          <w:vertAlign w:val="superscript"/>
        </w:rPr>
      </w:pPr>
      <w:r>
        <w:rPr>
          <w:b/>
          <w:noProof/>
          <w:sz w:val="24"/>
        </w:rPr>
        <w:t xml:space="preserve">6. melléklet </w:t>
      </w:r>
      <w:r>
        <w:rPr>
          <w:b/>
          <w:sz w:val="24"/>
        </w:rPr>
        <w:t xml:space="preserve">a 20/2014.(XII.19.) önkormányzati rendelethez </w:t>
      </w:r>
      <w:r>
        <w:rPr>
          <w:rStyle w:val="Lbjegyzet-hivatkozs"/>
          <w:b/>
          <w:sz w:val="24"/>
        </w:rPr>
        <w:footnoteReference w:id="1"/>
      </w:r>
    </w:p>
    <w:p w:rsidR="00BB6887" w:rsidRDefault="00BB6887" w:rsidP="00BB6887">
      <w:pPr>
        <w:keepNext/>
        <w:keepLines/>
        <w:spacing w:after="0" w:line="240" w:lineRule="auto"/>
        <w:jc w:val="both"/>
        <w:rPr>
          <w:b/>
          <w:noProof/>
          <w:sz w:val="24"/>
        </w:rPr>
      </w:pPr>
    </w:p>
    <w:p w:rsidR="00BB6887" w:rsidRPr="00456E62" w:rsidRDefault="00BB6887" w:rsidP="00BB6887">
      <w:pPr>
        <w:jc w:val="both"/>
        <w:rPr>
          <w:rFonts w:ascii="Arial" w:hAnsi="Arial" w:cs="Arial"/>
          <w:i/>
          <w:iCs/>
          <w:color w:val="000000"/>
          <w:u w:val="single"/>
        </w:rPr>
      </w:pPr>
      <w:r w:rsidRPr="00456E62">
        <w:rPr>
          <w:rFonts w:ascii="Arial" w:hAnsi="Arial" w:cs="Arial"/>
          <w:i/>
          <w:iCs/>
          <w:color w:val="000000"/>
          <w:u w:val="single"/>
        </w:rPr>
        <w:t xml:space="preserve">Elkülönített hulladékgyűjtő udvar (pont) helyszíne Budakalászon: </w:t>
      </w:r>
    </w:p>
    <w:p w:rsidR="00BB6887" w:rsidRPr="00456E62" w:rsidRDefault="00BB6887" w:rsidP="00BB6887">
      <w:pPr>
        <w:jc w:val="both"/>
        <w:rPr>
          <w:rFonts w:ascii="Arial" w:hAnsi="Arial" w:cs="Arial"/>
          <w:i/>
          <w:iCs/>
          <w:color w:val="000000"/>
        </w:rPr>
      </w:pPr>
      <w:proofErr w:type="spellStart"/>
      <w:r w:rsidRPr="00456E62">
        <w:rPr>
          <w:rFonts w:ascii="Arial" w:hAnsi="Arial" w:cs="Arial"/>
          <w:i/>
          <w:iCs/>
          <w:color w:val="000000"/>
        </w:rPr>
        <w:t>Klinger</w:t>
      </w:r>
      <w:proofErr w:type="spellEnd"/>
      <w:r w:rsidRPr="00456E62">
        <w:rPr>
          <w:rFonts w:ascii="Arial" w:hAnsi="Arial" w:cs="Arial"/>
          <w:i/>
          <w:iCs/>
          <w:color w:val="000000"/>
        </w:rPr>
        <w:t xml:space="preserve"> Henrik u. </w:t>
      </w:r>
      <w:proofErr w:type="spellStart"/>
      <w:r w:rsidRPr="00456E62">
        <w:rPr>
          <w:rFonts w:ascii="Arial" w:hAnsi="Arial" w:cs="Arial"/>
          <w:i/>
          <w:iCs/>
          <w:color w:val="000000"/>
        </w:rPr>
        <w:t>Hrsz</w:t>
      </w:r>
      <w:proofErr w:type="spellEnd"/>
      <w:r w:rsidRPr="00456E62">
        <w:rPr>
          <w:rFonts w:ascii="Arial" w:hAnsi="Arial" w:cs="Arial"/>
          <w:i/>
          <w:iCs/>
          <w:color w:val="000000"/>
        </w:rPr>
        <w:t xml:space="preserve">: 1291/25volt Lenfonó gyár területe </w:t>
      </w:r>
    </w:p>
    <w:p w:rsidR="00BB6887" w:rsidRPr="00456E62" w:rsidRDefault="00BB6887" w:rsidP="00BB6887">
      <w:pPr>
        <w:jc w:val="both"/>
        <w:rPr>
          <w:rFonts w:ascii="Arial" w:hAnsi="Arial" w:cs="Arial"/>
          <w:i/>
          <w:iCs/>
          <w:color w:val="000000"/>
          <w:u w:val="single"/>
        </w:rPr>
      </w:pPr>
      <w:proofErr w:type="spellStart"/>
      <w:r w:rsidRPr="00456E62">
        <w:rPr>
          <w:rFonts w:ascii="Arial" w:hAnsi="Arial" w:cs="Arial"/>
          <w:i/>
          <w:iCs/>
          <w:color w:val="000000"/>
          <w:u w:val="single"/>
        </w:rPr>
        <w:t>Edényzet</w:t>
      </w:r>
      <w:proofErr w:type="spellEnd"/>
      <w:r w:rsidRPr="00456E62">
        <w:rPr>
          <w:rFonts w:ascii="Arial" w:hAnsi="Arial" w:cs="Arial"/>
          <w:i/>
          <w:iCs/>
          <w:color w:val="000000"/>
          <w:u w:val="single"/>
        </w:rPr>
        <w:t xml:space="preserve">: </w:t>
      </w:r>
    </w:p>
    <w:p w:rsidR="00BB6887" w:rsidRPr="00456E62" w:rsidRDefault="00BB6887" w:rsidP="00BB6887">
      <w:pPr>
        <w:pStyle w:val="Listaszerbekezds"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i/>
          <w:iCs/>
          <w:color w:val="000000"/>
        </w:rPr>
      </w:pPr>
      <w:r w:rsidRPr="00456E62">
        <w:rPr>
          <w:rFonts w:ascii="Arial" w:hAnsi="Arial" w:cs="Arial"/>
          <w:i/>
          <w:iCs/>
          <w:color w:val="000000"/>
        </w:rPr>
        <w:t xml:space="preserve">1,1 m³-es zárt konténerek (gyűjtőedények) (települési hulladék hasznosítható összetevői tárolására szolgál) </w:t>
      </w:r>
    </w:p>
    <w:p w:rsidR="00BB6887" w:rsidRPr="00456E62" w:rsidRDefault="00BB6887" w:rsidP="00BB6887">
      <w:pPr>
        <w:pStyle w:val="Listaszerbekezds"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i/>
          <w:iCs/>
          <w:color w:val="000000"/>
        </w:rPr>
      </w:pPr>
      <w:r w:rsidRPr="00456E62">
        <w:rPr>
          <w:rFonts w:ascii="Arial" w:hAnsi="Arial" w:cs="Arial"/>
          <w:i/>
          <w:iCs/>
          <w:color w:val="000000"/>
        </w:rPr>
        <w:t>7 m³-es konténerek (zöldhulladékok tárolására szolgál)</w:t>
      </w:r>
    </w:p>
    <w:p w:rsidR="00BB6887" w:rsidRPr="00456E62" w:rsidRDefault="00BB6887" w:rsidP="00BB6887">
      <w:pPr>
        <w:jc w:val="both"/>
        <w:rPr>
          <w:rFonts w:ascii="Arial" w:hAnsi="Arial" w:cs="Arial"/>
          <w:i/>
          <w:iCs/>
          <w:color w:val="000000"/>
        </w:rPr>
      </w:pPr>
    </w:p>
    <w:p w:rsidR="00BB6887" w:rsidRPr="00456E62" w:rsidRDefault="00BB6887" w:rsidP="00BB6887">
      <w:pPr>
        <w:jc w:val="both"/>
        <w:rPr>
          <w:rFonts w:ascii="Arial" w:hAnsi="Arial" w:cs="Arial"/>
          <w:i/>
          <w:iCs/>
          <w:color w:val="000000"/>
          <w:u w:val="single"/>
        </w:rPr>
      </w:pPr>
      <w:r w:rsidRPr="00456E62">
        <w:rPr>
          <w:rFonts w:ascii="Arial" w:hAnsi="Arial" w:cs="Arial"/>
          <w:i/>
          <w:iCs/>
          <w:color w:val="000000"/>
          <w:u w:val="single"/>
        </w:rPr>
        <w:t xml:space="preserve">A Hulladékgyűjtő udvaron (ponton) elkülönítetten gyűjthető hulladékok: </w:t>
      </w:r>
    </w:p>
    <w:p w:rsidR="00BB6887" w:rsidRPr="00456E62" w:rsidRDefault="00BB6887" w:rsidP="00BB6887">
      <w:pPr>
        <w:pStyle w:val="Listaszerbekezds"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i/>
          <w:iCs/>
          <w:color w:val="000000"/>
        </w:rPr>
      </w:pPr>
      <w:r w:rsidRPr="00456E62">
        <w:rPr>
          <w:rFonts w:ascii="Arial" w:hAnsi="Arial" w:cs="Arial"/>
          <w:i/>
          <w:iCs/>
          <w:color w:val="000000"/>
        </w:rPr>
        <w:t>szilárd települési hulladék hasznosítható (EWC 15 és 20 főcsoport hulladékai) összetevőin belül (elkülönítetten gyűjtött hulladékok): műanyag, papír, üveg, alumínium, fém, elem</w:t>
      </w:r>
    </w:p>
    <w:p w:rsidR="00BB6887" w:rsidRPr="00456E62" w:rsidRDefault="00BB6887" w:rsidP="00BB6887">
      <w:pPr>
        <w:pStyle w:val="Listaszerbekezds"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i/>
          <w:iCs/>
          <w:color w:val="000000"/>
        </w:rPr>
      </w:pPr>
      <w:r w:rsidRPr="00456E62">
        <w:rPr>
          <w:rFonts w:ascii="Arial" w:hAnsi="Arial" w:cs="Arial"/>
          <w:i/>
          <w:iCs/>
          <w:color w:val="000000"/>
        </w:rPr>
        <w:t xml:space="preserve">lakosságnál keletkező 100kg vagy 1 m3-t nem meghaladó építési, bontási hulladékok (EWC 17 főcsoport hulladékai). </w:t>
      </w:r>
    </w:p>
    <w:p w:rsidR="00BB6887" w:rsidRPr="00456E62" w:rsidRDefault="00BB6887" w:rsidP="00BB6887">
      <w:pPr>
        <w:pStyle w:val="Listaszerbekezds"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i/>
          <w:iCs/>
          <w:color w:val="000000"/>
        </w:rPr>
      </w:pPr>
      <w:r w:rsidRPr="00456E62">
        <w:rPr>
          <w:rFonts w:ascii="Arial" w:hAnsi="Arial" w:cs="Arial"/>
          <w:i/>
          <w:iCs/>
          <w:color w:val="000000"/>
        </w:rPr>
        <w:t xml:space="preserve"> lakosságnál normál életvitel során keletkező gumiabroncs (EWC 160103), lakcímkártya alapján 4db/év </w:t>
      </w:r>
    </w:p>
    <w:p w:rsidR="00BB6887" w:rsidRPr="00456E62" w:rsidRDefault="00BB6887" w:rsidP="00BB6887">
      <w:pPr>
        <w:pStyle w:val="Listaszerbekezds"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i/>
          <w:iCs/>
          <w:color w:val="000000"/>
        </w:rPr>
      </w:pPr>
      <w:r w:rsidRPr="00456E62">
        <w:rPr>
          <w:rFonts w:ascii="Arial" w:hAnsi="Arial" w:cs="Arial"/>
          <w:i/>
          <w:iCs/>
          <w:color w:val="000000"/>
        </w:rPr>
        <w:t>lakosságnál normál életvitel során keletkező étolaj és zsír (EWC 20 01 25)</w:t>
      </w:r>
    </w:p>
    <w:p w:rsidR="00BB6887" w:rsidRPr="00456E62" w:rsidRDefault="00BB6887" w:rsidP="00BB6887">
      <w:pPr>
        <w:pStyle w:val="Listaszerbekezds"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i/>
          <w:iCs/>
          <w:color w:val="000000"/>
        </w:rPr>
      </w:pPr>
      <w:r w:rsidRPr="00456E62">
        <w:rPr>
          <w:rFonts w:ascii="Arial" w:hAnsi="Arial" w:cs="Arial"/>
          <w:i/>
          <w:iCs/>
          <w:color w:val="000000"/>
        </w:rPr>
        <w:t>lakosságnál normál életvitel során keletkező elektromos és elektronikai berendezések: (EWC 16 02 14, 16 02 16)</w:t>
      </w:r>
    </w:p>
    <w:p w:rsidR="00BB6887" w:rsidRPr="00456E62" w:rsidRDefault="00BB6887" w:rsidP="00BB6887">
      <w:pPr>
        <w:jc w:val="both"/>
        <w:rPr>
          <w:rFonts w:ascii="Arial" w:hAnsi="Arial" w:cs="Arial"/>
          <w:i/>
          <w:iCs/>
          <w:color w:val="000000"/>
          <w:u w:val="single"/>
        </w:rPr>
      </w:pPr>
      <w:r w:rsidRPr="00456E62">
        <w:rPr>
          <w:rFonts w:ascii="Arial" w:hAnsi="Arial" w:cs="Arial"/>
          <w:i/>
          <w:iCs/>
          <w:color w:val="000000"/>
          <w:u w:val="single"/>
        </w:rPr>
        <w:t xml:space="preserve">Hulladékgyűjtő udvar (pont): </w:t>
      </w:r>
    </w:p>
    <w:p w:rsidR="00BB6887" w:rsidRPr="00456E62" w:rsidRDefault="00BB6887" w:rsidP="00BB6887">
      <w:pPr>
        <w:jc w:val="both"/>
        <w:rPr>
          <w:rFonts w:ascii="Arial" w:hAnsi="Arial" w:cs="Arial"/>
          <w:i/>
          <w:iCs/>
          <w:color w:val="000000"/>
        </w:rPr>
      </w:pPr>
      <w:r w:rsidRPr="00456E62">
        <w:rPr>
          <w:rFonts w:ascii="Arial" w:hAnsi="Arial" w:cs="Arial"/>
          <w:i/>
          <w:iCs/>
          <w:color w:val="000000"/>
        </w:rPr>
        <w:t xml:space="preserve">Nyitva tartás: </w:t>
      </w:r>
    </w:p>
    <w:p w:rsidR="00BB6887" w:rsidRPr="00456E62" w:rsidRDefault="00BB6887" w:rsidP="00BB6887">
      <w:pPr>
        <w:jc w:val="both"/>
        <w:rPr>
          <w:rFonts w:ascii="Arial" w:hAnsi="Arial" w:cs="Arial"/>
          <w:i/>
          <w:iCs/>
          <w:color w:val="000000"/>
        </w:rPr>
      </w:pPr>
      <w:r w:rsidRPr="00456E62">
        <w:rPr>
          <w:rFonts w:ascii="Arial" w:hAnsi="Arial" w:cs="Arial"/>
          <w:i/>
          <w:iCs/>
          <w:color w:val="000000"/>
        </w:rPr>
        <w:t xml:space="preserve">Csütörtök 14 00 – 18 00 </w:t>
      </w:r>
    </w:p>
    <w:p w:rsidR="00BB6887" w:rsidRPr="00456E62" w:rsidRDefault="00BB6887" w:rsidP="00BB6887">
      <w:pPr>
        <w:jc w:val="both"/>
        <w:rPr>
          <w:rFonts w:ascii="Arial" w:hAnsi="Arial" w:cs="Arial"/>
          <w:i/>
          <w:iCs/>
          <w:color w:val="000000"/>
        </w:rPr>
      </w:pPr>
      <w:r w:rsidRPr="00456E62">
        <w:rPr>
          <w:rFonts w:ascii="Arial" w:hAnsi="Arial" w:cs="Arial"/>
          <w:i/>
          <w:iCs/>
          <w:color w:val="000000"/>
        </w:rPr>
        <w:t xml:space="preserve">Péntek 14 00 – 18 00 </w:t>
      </w:r>
    </w:p>
    <w:p w:rsidR="00BB6887" w:rsidRPr="00456E62" w:rsidRDefault="00BB6887" w:rsidP="00BB6887">
      <w:pPr>
        <w:jc w:val="both"/>
        <w:rPr>
          <w:rFonts w:ascii="Arial" w:hAnsi="Arial" w:cs="Arial"/>
          <w:i/>
          <w:iCs/>
          <w:color w:val="000000"/>
        </w:rPr>
      </w:pPr>
      <w:r w:rsidRPr="00456E62">
        <w:rPr>
          <w:rFonts w:ascii="Arial" w:hAnsi="Arial" w:cs="Arial"/>
          <w:i/>
          <w:iCs/>
          <w:color w:val="000000"/>
        </w:rPr>
        <w:t>Szombat 8 00 – 12 00</w:t>
      </w:r>
    </w:p>
    <w:p w:rsidR="00BB6887" w:rsidRDefault="00BB6887" w:rsidP="00BB6887">
      <w:pPr>
        <w:spacing w:after="0"/>
        <w:rPr>
          <w:sz w:val="24"/>
        </w:rPr>
      </w:pPr>
    </w:p>
    <w:p w:rsidR="00D36884" w:rsidRDefault="00D36884">
      <w:bookmarkStart w:id="0" w:name="_GoBack"/>
      <w:bookmarkEnd w:id="0"/>
    </w:p>
    <w:sectPr w:rsidR="00D36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295" w:rsidRDefault="002C5295" w:rsidP="00BB6887">
      <w:pPr>
        <w:spacing w:after="0" w:line="240" w:lineRule="auto"/>
      </w:pPr>
      <w:r>
        <w:separator/>
      </w:r>
    </w:p>
  </w:endnote>
  <w:endnote w:type="continuationSeparator" w:id="0">
    <w:p w:rsidR="002C5295" w:rsidRDefault="002C5295" w:rsidP="00BB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295" w:rsidRDefault="002C5295" w:rsidP="00BB6887">
      <w:pPr>
        <w:spacing w:after="0" w:line="240" w:lineRule="auto"/>
      </w:pPr>
      <w:r>
        <w:separator/>
      </w:r>
    </w:p>
  </w:footnote>
  <w:footnote w:type="continuationSeparator" w:id="0">
    <w:p w:rsidR="002C5295" w:rsidRDefault="002C5295" w:rsidP="00BB6887">
      <w:pPr>
        <w:spacing w:after="0" w:line="240" w:lineRule="auto"/>
      </w:pPr>
      <w:r>
        <w:continuationSeparator/>
      </w:r>
    </w:p>
  </w:footnote>
  <w:footnote w:id="1">
    <w:p w:rsidR="00BB6887" w:rsidRDefault="00BB6887" w:rsidP="00BB6887">
      <w:pPr>
        <w:pStyle w:val="Lbjegyzetszveg"/>
      </w:pPr>
      <w:r>
        <w:rPr>
          <w:rStyle w:val="Lbjegyzet-hivatkozs"/>
        </w:rPr>
        <w:footnoteRef/>
      </w:r>
      <w:r>
        <w:t xml:space="preserve"> Módosította Budakalász Város Képviselő- testületének 30/2020.(X.1.) rendelete, hatályos 2020. október 2. napjától.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9132F"/>
    <w:multiLevelType w:val="hybridMultilevel"/>
    <w:tmpl w:val="96D28CF4"/>
    <w:lvl w:ilvl="0" w:tplc="6AA84A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87"/>
    <w:rsid w:val="002C5295"/>
    <w:rsid w:val="00BB6887"/>
    <w:rsid w:val="00D3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BC527-B3F1-4FDC-85EB-B635B77B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6887"/>
    <w:pPr>
      <w:autoSpaceDE w:val="0"/>
      <w:autoSpaceDN w:val="0"/>
      <w:spacing w:after="200" w:line="276" w:lineRule="auto"/>
    </w:pPr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Welt L,Számozott lista 1,Eszeri felsorolás,List Paragraph à moi,Bullet_1,Színes lista – 1. jelölőszín1,Bullet List,FooterText,numbered,Paragraphe de liste1,Bulletr List Paragraph,列出段落,列出段落1,bekezdés1,Dot pt,Bullet 1,No Spacin"/>
    <w:basedOn w:val="Norml"/>
    <w:link w:val="ListaszerbekezdsChar"/>
    <w:uiPriority w:val="34"/>
    <w:qFormat/>
    <w:rsid w:val="00BB6887"/>
    <w:pPr>
      <w:ind w:left="720"/>
    </w:pPr>
  </w:style>
  <w:style w:type="paragraph" w:styleId="Lbjegyzetszveg">
    <w:name w:val="footnote text"/>
    <w:basedOn w:val="Norml"/>
    <w:link w:val="LbjegyzetszvegChar"/>
    <w:semiHidden/>
    <w:rsid w:val="00BB688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B6887"/>
    <w:rPr>
      <w:rFonts w:ascii="Calibri" w:eastAsia="Times New Roman" w:hAnsi="Calibri" w:cs="Calibri"/>
      <w:sz w:val="20"/>
      <w:szCs w:val="20"/>
      <w:lang w:eastAsia="hu-HU"/>
    </w:rPr>
  </w:style>
  <w:style w:type="character" w:styleId="Lbjegyzet-hivatkozs">
    <w:name w:val="footnote reference"/>
    <w:semiHidden/>
    <w:rsid w:val="00BB6887"/>
    <w:rPr>
      <w:vertAlign w:val="superscript"/>
    </w:rPr>
  </w:style>
  <w:style w:type="character" w:customStyle="1" w:styleId="ListaszerbekezdsChar">
    <w:name w:val="Listaszerű bekezdés Char"/>
    <w:aliases w:val="lista_2 Char,Welt L Char,Számozott lista 1 Char,Eszeri felsorolás Char,List Paragraph à moi Char,Bullet_1 Char,Színes lista – 1. jelölőszín1 Char,Bullet List Char,FooterText Char,numbered Char,Paragraphe de liste1 Char,列出段落 Char"/>
    <w:link w:val="Listaszerbekezds"/>
    <w:uiPriority w:val="34"/>
    <w:qFormat/>
    <w:locked/>
    <w:rsid w:val="00BB6887"/>
    <w:rPr>
      <w:rFonts w:ascii="Calibri" w:eastAsia="Times New Roman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Enikő</dc:creator>
  <cp:keywords/>
  <dc:description/>
  <cp:lastModifiedBy>Müller Enikő</cp:lastModifiedBy>
  <cp:revision>1</cp:revision>
  <dcterms:created xsi:type="dcterms:W3CDTF">2021-06-16T13:59:00Z</dcterms:created>
  <dcterms:modified xsi:type="dcterms:W3CDTF">2021-06-16T14:00:00Z</dcterms:modified>
</cp:coreProperties>
</file>