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E7" w:rsidRPr="00736199" w:rsidRDefault="00586FE7" w:rsidP="00586FE7">
      <w:pPr>
        <w:jc w:val="center"/>
        <w:rPr>
          <w:b/>
          <w:lang w:eastAsia="x-none"/>
        </w:rPr>
      </w:pPr>
      <w:r w:rsidRPr="00736199">
        <w:rPr>
          <w:b/>
          <w:lang w:eastAsia="x-none"/>
        </w:rPr>
        <w:t xml:space="preserve">INDOKOLÁS </w:t>
      </w:r>
    </w:p>
    <w:p w:rsidR="00586FE7" w:rsidRPr="00736199" w:rsidRDefault="00586FE7" w:rsidP="00586FE7">
      <w:pPr>
        <w:jc w:val="center"/>
        <w:rPr>
          <w:b/>
          <w:lang w:eastAsia="x-none"/>
        </w:rPr>
      </w:pPr>
    </w:p>
    <w:p w:rsidR="00586FE7" w:rsidRPr="00A67DD8" w:rsidRDefault="00586FE7" w:rsidP="00586FE7">
      <w:pPr>
        <w:jc w:val="center"/>
        <w:rPr>
          <w:b/>
        </w:rPr>
      </w:pPr>
      <w:r w:rsidRPr="00A67DD8">
        <w:rPr>
          <w:b/>
        </w:rPr>
        <w:t xml:space="preserve">Töttös Község </w:t>
      </w:r>
      <w:r>
        <w:rPr>
          <w:b/>
        </w:rPr>
        <w:t>Polgármesterének</w:t>
      </w:r>
    </w:p>
    <w:p w:rsidR="00586FE7" w:rsidRPr="00A67DD8" w:rsidRDefault="00586FE7" w:rsidP="00586FE7">
      <w:pPr>
        <w:jc w:val="center"/>
        <w:rPr>
          <w:b/>
        </w:rPr>
      </w:pPr>
      <w:r>
        <w:rPr>
          <w:b/>
        </w:rPr>
        <w:t>8/2020</w:t>
      </w:r>
      <w:r w:rsidRPr="00A67DD8">
        <w:rPr>
          <w:b/>
        </w:rPr>
        <w:t>. (X</w:t>
      </w:r>
      <w:r>
        <w:rPr>
          <w:b/>
        </w:rPr>
        <w:t>I.26.</w:t>
      </w:r>
      <w:r w:rsidRPr="00A67DD8">
        <w:rPr>
          <w:b/>
        </w:rPr>
        <w:t>) önkormányzati rendelete</w:t>
      </w:r>
    </w:p>
    <w:p w:rsidR="00586FE7" w:rsidRPr="00736199" w:rsidRDefault="00586FE7" w:rsidP="00586FE7">
      <w:pPr>
        <w:keepNext/>
        <w:keepLines/>
        <w:suppressAutoHyphens/>
        <w:jc w:val="center"/>
        <w:rPr>
          <w:b/>
          <w:kern w:val="1"/>
          <w:lang w:eastAsia="en-US"/>
        </w:rPr>
      </w:pPr>
    </w:p>
    <w:p w:rsidR="00586FE7" w:rsidRPr="00A67DD8" w:rsidRDefault="00586FE7" w:rsidP="00586FE7">
      <w:pPr>
        <w:jc w:val="center"/>
        <w:rPr>
          <w:b/>
        </w:rPr>
      </w:pPr>
      <w:proofErr w:type="gramStart"/>
      <w:r w:rsidRPr="00A9348A">
        <w:rPr>
          <w:b/>
          <w:bCs/>
        </w:rPr>
        <w:t>a</w:t>
      </w:r>
      <w:proofErr w:type="gramEnd"/>
      <w:r w:rsidRPr="00A9348A">
        <w:rPr>
          <w:b/>
          <w:bCs/>
        </w:rPr>
        <w:t xml:space="preserve"> köztisztaságról és a hulladékkezelési közszolgáltatásról </w:t>
      </w:r>
      <w:r w:rsidRPr="00A67DD8">
        <w:rPr>
          <w:b/>
        </w:rPr>
        <w:t xml:space="preserve">szóló </w:t>
      </w:r>
    </w:p>
    <w:p w:rsidR="00586FE7" w:rsidRPr="00736199" w:rsidRDefault="00586FE7" w:rsidP="00586FE7">
      <w:pPr>
        <w:jc w:val="center"/>
        <w:rPr>
          <w:b/>
          <w:bCs/>
          <w:lang w:eastAsia="x-none"/>
        </w:rPr>
      </w:pPr>
      <w:r w:rsidRPr="006803F6">
        <w:rPr>
          <w:b/>
          <w:bCs/>
        </w:rPr>
        <w:t>11/2017.(XII.1.) önkormányzati rendelet módosításáról</w:t>
      </w:r>
    </w:p>
    <w:p w:rsidR="00586FE7" w:rsidRPr="00736199" w:rsidRDefault="00586FE7" w:rsidP="00586FE7">
      <w:pPr>
        <w:jc w:val="center"/>
        <w:rPr>
          <w:b/>
          <w:lang w:eastAsia="x-none"/>
        </w:rPr>
      </w:pPr>
    </w:p>
    <w:p w:rsidR="00586FE7" w:rsidRPr="00736199" w:rsidRDefault="00586FE7" w:rsidP="00586FE7">
      <w:pPr>
        <w:jc w:val="both"/>
        <w:rPr>
          <w:rFonts w:eastAsia="Calibri" w:cs="Calibri"/>
          <w:szCs w:val="22"/>
          <w:lang w:eastAsia="en-US"/>
        </w:rPr>
      </w:pPr>
      <w:r w:rsidRPr="00736199">
        <w:rPr>
          <w:rFonts w:eastAsia="Calibri" w:cs="Calibri"/>
          <w:szCs w:val="22"/>
          <w:lang w:eastAsia="en-US"/>
        </w:rPr>
        <w:t>A jogalkotásról szóló 2010. évi CXXX. törvény 18. §-</w:t>
      </w:r>
      <w:proofErr w:type="spellStart"/>
      <w:r w:rsidRPr="00736199">
        <w:rPr>
          <w:rFonts w:eastAsia="Calibri" w:cs="Calibri"/>
          <w:szCs w:val="22"/>
          <w:lang w:eastAsia="en-US"/>
        </w:rPr>
        <w:t>ában</w:t>
      </w:r>
      <w:proofErr w:type="spellEnd"/>
      <w:r w:rsidRPr="00736199">
        <w:rPr>
          <w:rFonts w:eastAsia="Calibri" w:cs="Calibri"/>
          <w:szCs w:val="22"/>
          <w:lang w:eastAsia="en-US"/>
        </w:rPr>
        <w:t xml:space="preserve"> foglaltak szerint eljárva az </w:t>
      </w:r>
      <w:proofErr w:type="gramStart"/>
      <w:r w:rsidRPr="00736199">
        <w:rPr>
          <w:rFonts w:eastAsia="Calibri" w:cs="Calibri"/>
          <w:szCs w:val="22"/>
          <w:lang w:eastAsia="en-US"/>
        </w:rPr>
        <w:t>ezen</w:t>
      </w:r>
      <w:proofErr w:type="gramEnd"/>
      <w:r w:rsidRPr="00736199">
        <w:rPr>
          <w:rFonts w:eastAsia="Calibri" w:cs="Calibri"/>
          <w:szCs w:val="22"/>
          <w:lang w:eastAsia="en-US"/>
        </w:rPr>
        <w:t xml:space="preserve"> tervezetben szereplő önkormányzati rendeletet az alábbiak szerint indokolom.</w:t>
      </w:r>
    </w:p>
    <w:p w:rsidR="00586FE7" w:rsidRPr="00736199" w:rsidRDefault="00586FE7" w:rsidP="00586FE7">
      <w:pPr>
        <w:jc w:val="both"/>
        <w:rPr>
          <w:rFonts w:eastAsia="Calibri" w:cs="Calibri"/>
          <w:szCs w:val="22"/>
          <w:lang w:eastAsia="en-US"/>
        </w:rPr>
      </w:pPr>
    </w:p>
    <w:p w:rsidR="00586FE7" w:rsidRPr="00736199" w:rsidRDefault="00586FE7" w:rsidP="00586FE7">
      <w:pPr>
        <w:jc w:val="both"/>
        <w:rPr>
          <w:rFonts w:eastAsia="Calibri" w:cs="Calibri"/>
          <w:szCs w:val="22"/>
          <w:lang w:eastAsia="en-US"/>
        </w:rPr>
      </w:pPr>
    </w:p>
    <w:p w:rsidR="00586FE7" w:rsidRPr="00736199" w:rsidRDefault="00586FE7" w:rsidP="00586FE7">
      <w:pPr>
        <w:jc w:val="center"/>
        <w:rPr>
          <w:rFonts w:eastAsia="Calibri" w:cs="Calibri"/>
          <w:b/>
          <w:bCs/>
          <w:szCs w:val="22"/>
          <w:lang w:eastAsia="en-US"/>
        </w:rPr>
      </w:pPr>
      <w:r w:rsidRPr="00736199">
        <w:rPr>
          <w:rFonts w:eastAsia="Calibri" w:cs="Calibri"/>
          <w:b/>
          <w:bCs/>
          <w:szCs w:val="22"/>
          <w:lang w:eastAsia="en-US"/>
        </w:rPr>
        <w:t>Általános indokolás</w:t>
      </w:r>
    </w:p>
    <w:p w:rsidR="00586FE7" w:rsidRPr="00736199" w:rsidRDefault="00586FE7" w:rsidP="00586FE7">
      <w:pPr>
        <w:ind w:firstLine="240"/>
        <w:rPr>
          <w:rFonts w:eastAsia="Calibri" w:cs="Calibri"/>
          <w:szCs w:val="22"/>
          <w:lang w:eastAsia="en-US"/>
        </w:rPr>
      </w:pPr>
    </w:p>
    <w:p w:rsidR="00586FE7" w:rsidRPr="00CA5BCD" w:rsidRDefault="00586FE7" w:rsidP="00586FE7">
      <w:pPr>
        <w:autoSpaceDE w:val="0"/>
        <w:autoSpaceDN w:val="0"/>
        <w:adjustRightInd w:val="0"/>
        <w:jc w:val="both"/>
        <w:outlineLvl w:val="0"/>
      </w:pPr>
      <w:r>
        <w:t>Töttös</w:t>
      </w:r>
      <w:r w:rsidRPr="00C55AD8">
        <w:t xml:space="preserve"> Község</w:t>
      </w:r>
      <w:r>
        <w:t xml:space="preserve"> Polgármestere </w:t>
      </w:r>
      <w:r w:rsidRPr="004D246D">
        <w:t>a katasztrófavédelemről és a hozzá kapcsolódó egyes törvények módosításáról szóló 2011. évi CXXVIII. törvény 46. § (4) bekezdésében</w:t>
      </w:r>
      <w:r>
        <w:t>, továbbá</w:t>
      </w:r>
      <w:r w:rsidRPr="00C55AD8">
        <w:t xml:space="preserve"> </w:t>
      </w:r>
      <w:r>
        <w:t xml:space="preserve">Magyarország helyi önkormányzatairól szóló 2011. évi CLXXXIX. törvény 13. § (1) bekezdés 5. pontjában meghatározott feladatkörben, </w:t>
      </w:r>
      <w:r w:rsidRPr="004C2AB0">
        <w:t xml:space="preserve">az Alaptörvény 32. cikk (1) bekezdés a) pontjában és a hulladékról szóló 2012. évi CLXXXV. törvény 88. § (4) bekezdésében kapott </w:t>
      </w:r>
      <w:r w:rsidRPr="00C55AD8">
        <w:t>felhatalmazás alapján</w:t>
      </w:r>
      <w:r>
        <w:t xml:space="preserve">, ugyanezen jogszabály 35.§ (1) bekezdése értelmében az önkormányzat képviselő-testülete rendeletben állapítja meg </w:t>
      </w:r>
      <w:r w:rsidRPr="00CC6DB6">
        <w:t>az önkormányzati hulladékgazdálkodási közfeladat ellátásának rendjét és módját</w:t>
      </w:r>
      <w:r>
        <w:t>.</w:t>
      </w:r>
    </w:p>
    <w:p w:rsidR="00586FE7" w:rsidRPr="00736199" w:rsidRDefault="00586FE7" w:rsidP="00586FE7">
      <w:pPr>
        <w:autoSpaceDE w:val="0"/>
        <w:autoSpaceDN w:val="0"/>
        <w:adjustRightInd w:val="0"/>
        <w:jc w:val="both"/>
        <w:rPr>
          <w:rFonts w:eastAsia="Calibri" w:cs="Calibri"/>
          <w:szCs w:val="22"/>
          <w:lang w:eastAsia="en-US"/>
        </w:rPr>
      </w:pPr>
    </w:p>
    <w:p w:rsidR="00586FE7" w:rsidRPr="00736199" w:rsidRDefault="00586FE7" w:rsidP="00586FE7">
      <w:pPr>
        <w:autoSpaceDE w:val="0"/>
        <w:autoSpaceDN w:val="0"/>
        <w:adjustRightInd w:val="0"/>
        <w:jc w:val="both"/>
        <w:rPr>
          <w:rFonts w:eastAsia="Calibri" w:cs="Calibri"/>
          <w:szCs w:val="22"/>
          <w:lang w:eastAsia="en-US"/>
        </w:rPr>
      </w:pPr>
    </w:p>
    <w:p w:rsidR="00586FE7" w:rsidRPr="00736199" w:rsidRDefault="00586FE7" w:rsidP="00586FE7">
      <w:pPr>
        <w:jc w:val="center"/>
        <w:rPr>
          <w:rFonts w:eastAsia="Calibri" w:cs="Calibri"/>
          <w:b/>
          <w:bCs/>
          <w:szCs w:val="22"/>
          <w:lang w:eastAsia="en-US"/>
        </w:rPr>
      </w:pPr>
      <w:r w:rsidRPr="00736199">
        <w:rPr>
          <w:rFonts w:eastAsia="Calibri" w:cs="Calibri"/>
          <w:b/>
          <w:bCs/>
          <w:szCs w:val="22"/>
          <w:lang w:eastAsia="en-US"/>
        </w:rPr>
        <w:t>Részletes indokolás</w:t>
      </w:r>
    </w:p>
    <w:p w:rsidR="00586FE7" w:rsidRPr="00736199" w:rsidRDefault="00586FE7" w:rsidP="00586FE7">
      <w:pPr>
        <w:jc w:val="center"/>
        <w:rPr>
          <w:rFonts w:eastAsia="Calibri" w:cs="Calibri"/>
          <w:b/>
          <w:bCs/>
          <w:szCs w:val="22"/>
          <w:lang w:eastAsia="en-US"/>
        </w:rPr>
      </w:pPr>
    </w:p>
    <w:p w:rsidR="00586FE7" w:rsidRDefault="00586FE7" w:rsidP="00586FE7">
      <w:pPr>
        <w:jc w:val="center"/>
        <w:rPr>
          <w:rFonts w:eastAsia="Calibri" w:cs="Calibri"/>
          <w:b/>
          <w:bCs/>
          <w:szCs w:val="22"/>
          <w:lang w:eastAsia="en-US"/>
        </w:rPr>
      </w:pPr>
      <w:r w:rsidRPr="00736199">
        <w:rPr>
          <w:rFonts w:eastAsia="Calibri" w:cs="Calibri"/>
          <w:b/>
          <w:bCs/>
          <w:szCs w:val="22"/>
          <w:lang w:eastAsia="en-US"/>
        </w:rPr>
        <w:t>Az 1. §-hoz</w:t>
      </w:r>
    </w:p>
    <w:p w:rsidR="00586FE7" w:rsidRPr="00736199" w:rsidRDefault="00586FE7" w:rsidP="00586FE7">
      <w:pPr>
        <w:jc w:val="center"/>
        <w:rPr>
          <w:rFonts w:eastAsia="Calibri" w:cs="Calibri"/>
          <w:b/>
          <w:bCs/>
          <w:szCs w:val="22"/>
          <w:lang w:eastAsia="en-US"/>
        </w:rPr>
      </w:pPr>
    </w:p>
    <w:p w:rsidR="00586FE7" w:rsidRPr="00811FB8" w:rsidRDefault="00586FE7" w:rsidP="00586FE7">
      <w:pPr>
        <w:jc w:val="both"/>
      </w:pPr>
      <w:r w:rsidRPr="00811FB8">
        <w:t>2021. január 1. napjával</w:t>
      </w:r>
      <w:r>
        <w:t xml:space="preserve"> </w:t>
      </w:r>
      <w:r w:rsidRPr="00811FB8">
        <w:t xml:space="preserve">hatályba </w:t>
      </w:r>
      <w:r>
        <w:t xml:space="preserve">lép </w:t>
      </w:r>
      <w:r w:rsidRPr="00811FB8">
        <w:t>a környezet védelmének általános szabályairól szóló 1995. évi LIII.</w:t>
      </w:r>
      <w:r>
        <w:t xml:space="preserve"> </w:t>
      </w:r>
      <w:r w:rsidRPr="00811FB8">
        <w:t>törvény és a természet védelméről szóló 1996. évi LIII. törvény módosításáról szóló 2020.</w:t>
      </w:r>
      <w:r>
        <w:t xml:space="preserve"> </w:t>
      </w:r>
      <w:r w:rsidRPr="00811FB8">
        <w:t>évi LI.</w:t>
      </w:r>
      <w:r>
        <w:t xml:space="preserve"> törvény 7.§ (2) bekezdése, mely</w:t>
      </w:r>
      <w:r w:rsidRPr="00811FB8">
        <w:t xml:space="preserve"> alapján </w:t>
      </w:r>
      <w:r>
        <w:t>az avar és kerti hulladék égetésére vonatkozó szabályok rendelettel történő megállapítására</w:t>
      </w:r>
      <w:r w:rsidRPr="00811FB8">
        <w:t xml:space="preserve"> felhatalmazást adó rendelkezés, azaz a</w:t>
      </w:r>
      <w:r>
        <w:t xml:space="preserve"> </w:t>
      </w:r>
      <w:r w:rsidRPr="00811FB8">
        <w:t>Kvtv. 48. § (4) bekezdés b) pontja hatályát veszíti.</w:t>
      </w:r>
      <w:r>
        <w:t xml:space="preserve"> Az avar és kerti hulladék égetés önkormányzati szabályozására vonatkozó felhatalmazás törlésével általánossá válik az avar és kerti hulladék égetésének a levegő védelméről szóló 306/2010. (XII. 23.) Korm. rendelet szerinti tilalma. </w:t>
      </w:r>
      <w:proofErr w:type="spellStart"/>
      <w:r>
        <w:t>Mindezek</w:t>
      </w:r>
      <w:proofErr w:type="spellEnd"/>
      <w:r>
        <w:t xml:space="preserve"> alapján az R. </w:t>
      </w:r>
      <w:proofErr w:type="gramStart"/>
      <w:r>
        <w:t>erre</w:t>
      </w:r>
      <w:proofErr w:type="gramEnd"/>
      <w:r>
        <w:t xml:space="preserve"> vonatkozó szakasza hatályát veszti.</w:t>
      </w:r>
    </w:p>
    <w:p w:rsidR="00586FE7" w:rsidRPr="00736199" w:rsidRDefault="00586FE7" w:rsidP="00586FE7">
      <w:pPr>
        <w:ind w:firstLine="240"/>
      </w:pPr>
    </w:p>
    <w:p w:rsidR="00586FE7" w:rsidRDefault="00586FE7" w:rsidP="00586FE7">
      <w:pPr>
        <w:jc w:val="center"/>
        <w:rPr>
          <w:b/>
        </w:rPr>
      </w:pPr>
      <w:r w:rsidRPr="00F20FFB">
        <w:rPr>
          <w:b/>
        </w:rPr>
        <w:t>A 2.§-hoz</w:t>
      </w:r>
    </w:p>
    <w:p w:rsidR="00586FE7" w:rsidRDefault="00586FE7" w:rsidP="00586FE7">
      <w:pPr>
        <w:jc w:val="center"/>
        <w:rPr>
          <w:rFonts w:eastAsia="Calibri" w:cs="Calibri"/>
          <w:b/>
          <w:bCs/>
          <w:szCs w:val="22"/>
          <w:lang w:eastAsia="en-US"/>
        </w:rPr>
      </w:pPr>
    </w:p>
    <w:p w:rsidR="00586FE7" w:rsidRPr="00736199" w:rsidRDefault="00586FE7" w:rsidP="00586FE7">
      <w:pPr>
        <w:jc w:val="both"/>
      </w:pPr>
      <w:r>
        <w:t>A</w:t>
      </w:r>
      <w:r w:rsidRPr="004C2AB0">
        <w:t xml:space="preserve"> hulladékról szóló 2012. évi CLXXXV. törvény</w:t>
      </w:r>
      <w:r>
        <w:t xml:space="preserve"> 35.§ (1) bekezdés c) foglaltakra tekintettel az önkormányzat képviselő-testület rendeletben szabályozza </w:t>
      </w:r>
      <w:r w:rsidRPr="00CC6DB6">
        <w:t>az önkormányzati hulladékgazdálkodási közfeladat ellátásának rendjét és módját, a közszolgáltató és az ingatlanhasználó ezzel összefüggő jogait és kötelezettségeit, valamint a hulladékgazdálkodási közszolgáltatási szerződés egyes tartalmi elemeit</w:t>
      </w:r>
      <w:r w:rsidRPr="00736199">
        <w:t>.</w:t>
      </w:r>
      <w:r>
        <w:t xml:space="preserve"> Tekintettel arra, hogy az egyéni szerződéskötés a közszolgáltató és az egyes ingatlanok tulajdonosai között 2021. január 1. napjával nem kerül bevezetésre, a rendelet </w:t>
      </w:r>
      <w:proofErr w:type="gramStart"/>
      <w:r>
        <w:t>ezen</w:t>
      </w:r>
      <w:proofErr w:type="gramEnd"/>
      <w:r>
        <w:t xml:space="preserve"> terület szabályozására vonatkozó szakaszinak hatályba lépését 2022. január 1. napjára módosította a képviselő-testület.</w:t>
      </w:r>
    </w:p>
    <w:p w:rsidR="00586FE7" w:rsidRDefault="00586FE7" w:rsidP="00586FE7">
      <w:pPr>
        <w:jc w:val="center"/>
        <w:rPr>
          <w:rFonts w:eastAsia="Calibri" w:cs="Calibri"/>
          <w:b/>
          <w:bCs/>
          <w:szCs w:val="22"/>
          <w:lang w:eastAsia="en-US"/>
        </w:rPr>
      </w:pPr>
    </w:p>
    <w:p w:rsidR="00586FE7" w:rsidRPr="00736199" w:rsidRDefault="00586FE7" w:rsidP="00586FE7">
      <w:pPr>
        <w:jc w:val="center"/>
        <w:rPr>
          <w:rFonts w:eastAsia="Calibri" w:cs="Calibri"/>
          <w:b/>
          <w:bCs/>
          <w:szCs w:val="22"/>
          <w:lang w:eastAsia="en-US"/>
        </w:rPr>
      </w:pPr>
      <w:r w:rsidRPr="00736199">
        <w:rPr>
          <w:rFonts w:eastAsia="Calibri" w:cs="Calibri"/>
          <w:b/>
          <w:bCs/>
          <w:szCs w:val="22"/>
          <w:lang w:eastAsia="en-US"/>
        </w:rPr>
        <w:t xml:space="preserve">A </w:t>
      </w:r>
      <w:r>
        <w:rPr>
          <w:rFonts w:eastAsia="Calibri" w:cs="Calibri"/>
          <w:b/>
          <w:bCs/>
          <w:szCs w:val="22"/>
          <w:lang w:eastAsia="en-US"/>
        </w:rPr>
        <w:t>3</w:t>
      </w:r>
      <w:r w:rsidRPr="00736199">
        <w:rPr>
          <w:rFonts w:eastAsia="Calibri" w:cs="Calibri"/>
          <w:b/>
          <w:bCs/>
          <w:szCs w:val="22"/>
          <w:lang w:eastAsia="en-US"/>
        </w:rPr>
        <w:t>.§-hoz</w:t>
      </w:r>
    </w:p>
    <w:p w:rsidR="00586FE7" w:rsidRPr="00736199" w:rsidRDefault="00586FE7" w:rsidP="00586FE7">
      <w:pPr>
        <w:jc w:val="both"/>
      </w:pPr>
    </w:p>
    <w:p w:rsidR="00586FE7" w:rsidRPr="00736199" w:rsidRDefault="00586FE7" w:rsidP="00586FE7">
      <w:pPr>
        <w:jc w:val="both"/>
      </w:pPr>
      <w:r w:rsidRPr="00736199">
        <w:t xml:space="preserve">A módosító </w:t>
      </w:r>
      <w:r w:rsidRPr="006803F6">
        <w:t>köztisztaságról és a hulladékkezelési közszolgáltatásról</w:t>
      </w:r>
      <w:r w:rsidRPr="00736199">
        <w:t xml:space="preserve"> </w:t>
      </w:r>
      <w:r>
        <w:t xml:space="preserve">szóló </w:t>
      </w:r>
      <w:r w:rsidRPr="00736199">
        <w:t xml:space="preserve">rendelet hatályba lépéséről, valamint a jogalkotásról szóló 2010. évi CXXX. törvény 12. §-ára figyelemmel a </w:t>
      </w:r>
      <w:r w:rsidRPr="00736199">
        <w:lastRenderedPageBreak/>
        <w:t xml:space="preserve">technikai dereguláció értelmében a </w:t>
      </w:r>
      <w:proofErr w:type="spellStart"/>
      <w:r w:rsidRPr="00736199">
        <w:t>végrehajtottá</w:t>
      </w:r>
      <w:proofErr w:type="spellEnd"/>
      <w:r w:rsidRPr="00736199">
        <w:t xml:space="preserve"> vált rendelkezés – így például a hatályba lépett módosító rendelkezés és hatályon kívül helyező rendelkezés, amely a joghatását már kifejtette –, a </w:t>
      </w:r>
      <w:proofErr w:type="spellStart"/>
      <w:r w:rsidRPr="00736199">
        <w:t>végrehajtottá</w:t>
      </w:r>
      <w:proofErr w:type="spellEnd"/>
      <w:r w:rsidRPr="00736199">
        <w:t xml:space="preserve"> válását követő napon hatályát veszti.</w:t>
      </w:r>
    </w:p>
    <w:p w:rsidR="00586FE7" w:rsidRPr="00736199" w:rsidRDefault="00586FE7" w:rsidP="00586FE7">
      <w:pPr>
        <w:suppressAutoHyphens/>
        <w:jc w:val="both"/>
        <w:rPr>
          <w:kern w:val="1"/>
        </w:rPr>
      </w:pPr>
    </w:p>
    <w:p w:rsidR="00586FE7" w:rsidRPr="00A93052" w:rsidRDefault="00586FE7" w:rsidP="00586FE7">
      <w:pPr>
        <w:jc w:val="both"/>
        <w:rPr>
          <w:bCs/>
          <w:bdr w:val="none" w:sz="0" w:space="0" w:color="auto" w:frame="1"/>
        </w:rPr>
      </w:pPr>
      <w:r w:rsidRPr="00A93052">
        <w:rPr>
          <w:bCs/>
          <w:bdr w:val="none" w:sz="0" w:space="0" w:color="auto" w:frame="1"/>
        </w:rPr>
        <w:t>A rendeletmódosítás kapcsán elvégzett előzetes hatásvizsgálatról, az alábbiak szerint tájékoztatom a Tisztelt Képviselő-testületet.</w:t>
      </w:r>
    </w:p>
    <w:p w:rsidR="00586FE7" w:rsidRPr="00A93052" w:rsidRDefault="00586FE7" w:rsidP="00586FE7">
      <w:pPr>
        <w:ind w:right="147"/>
        <w:jc w:val="both"/>
        <w:rPr>
          <w:bCs/>
        </w:rPr>
      </w:pPr>
    </w:p>
    <w:p w:rsidR="00586FE7" w:rsidRPr="00A93052" w:rsidRDefault="00586FE7" w:rsidP="00586FE7">
      <w:pPr>
        <w:jc w:val="both"/>
        <w:outlineLvl w:val="0"/>
        <w:rPr>
          <w:bCs/>
        </w:rPr>
      </w:pPr>
      <w:r w:rsidRPr="00A93052">
        <w:rPr>
          <w:bCs/>
        </w:rPr>
        <w:t xml:space="preserve">A rendeletalkotás </w:t>
      </w:r>
    </w:p>
    <w:p w:rsidR="00586FE7" w:rsidRPr="00A93052" w:rsidRDefault="00586FE7" w:rsidP="00586FE7">
      <w:pPr>
        <w:jc w:val="both"/>
        <w:outlineLvl w:val="0"/>
      </w:pPr>
      <w:proofErr w:type="gramStart"/>
      <w:r w:rsidRPr="00A93052">
        <w:rPr>
          <w:bCs/>
        </w:rPr>
        <w:t>a</w:t>
      </w:r>
      <w:proofErr w:type="gramEnd"/>
      <w:r w:rsidRPr="00A93052">
        <w:rPr>
          <w:bCs/>
        </w:rPr>
        <w:t xml:space="preserve">.) </w:t>
      </w:r>
      <w:r w:rsidRPr="00A93052">
        <w:rPr>
          <w:bCs/>
          <w:bdr w:val="none" w:sz="0" w:space="0" w:color="auto" w:frame="1"/>
        </w:rPr>
        <w:t xml:space="preserve">társadalmi-gazdasági hatása: </w:t>
      </w:r>
      <w:r w:rsidRPr="00A93052">
        <w:t>nincs</w:t>
      </w:r>
    </w:p>
    <w:p w:rsidR="00586FE7" w:rsidRPr="00A93052" w:rsidRDefault="00586FE7" w:rsidP="00586FE7">
      <w:pPr>
        <w:outlineLvl w:val="0"/>
      </w:pPr>
      <w:r w:rsidRPr="00A93052">
        <w:rPr>
          <w:bCs/>
          <w:bdr w:val="none" w:sz="0" w:space="0" w:color="auto" w:frame="1"/>
        </w:rPr>
        <w:t>b.) költségvetési hatása: nincs</w:t>
      </w:r>
    </w:p>
    <w:p w:rsidR="00586FE7" w:rsidRPr="00A93052" w:rsidRDefault="00586FE7" w:rsidP="00586FE7">
      <w:pPr>
        <w:outlineLvl w:val="0"/>
        <w:rPr>
          <w:bCs/>
          <w:bdr w:val="none" w:sz="0" w:space="0" w:color="auto" w:frame="1"/>
        </w:rPr>
      </w:pPr>
      <w:proofErr w:type="gramStart"/>
      <w:r w:rsidRPr="00A93052">
        <w:t>c.</w:t>
      </w:r>
      <w:proofErr w:type="gramEnd"/>
      <w:r w:rsidRPr="00A93052">
        <w:t xml:space="preserve">) </w:t>
      </w:r>
      <w:r w:rsidRPr="00A93052">
        <w:rPr>
          <w:bCs/>
          <w:bdr w:val="none" w:sz="0" w:space="0" w:color="auto" w:frame="1"/>
        </w:rPr>
        <w:t xml:space="preserve">környezeti, egészségi következményei: nincs </w:t>
      </w:r>
    </w:p>
    <w:p w:rsidR="00586FE7" w:rsidRPr="00A93052" w:rsidRDefault="00586FE7" w:rsidP="00586FE7">
      <w:pPr>
        <w:outlineLvl w:val="0"/>
        <w:rPr>
          <w:bCs/>
          <w:bdr w:val="none" w:sz="0" w:space="0" w:color="auto" w:frame="1"/>
        </w:rPr>
      </w:pPr>
      <w:r w:rsidRPr="00A93052">
        <w:rPr>
          <w:bCs/>
          <w:bdr w:val="none" w:sz="0" w:space="0" w:color="auto" w:frame="1"/>
        </w:rPr>
        <w:t>d.) adminisztratív terheket befolyásoló hatása: nem jelentős</w:t>
      </w:r>
    </w:p>
    <w:p w:rsidR="00586FE7" w:rsidRPr="00A93052" w:rsidRDefault="00586FE7" w:rsidP="00586FE7">
      <w:pPr>
        <w:jc w:val="both"/>
        <w:rPr>
          <w:bCs/>
          <w:bdr w:val="none" w:sz="0" w:space="0" w:color="auto" w:frame="1"/>
        </w:rPr>
      </w:pPr>
      <w:proofErr w:type="gramStart"/>
      <w:r w:rsidRPr="00A93052">
        <w:rPr>
          <w:bCs/>
          <w:bdr w:val="none" w:sz="0" w:space="0" w:color="auto" w:frame="1"/>
        </w:rPr>
        <w:t>e</w:t>
      </w:r>
      <w:proofErr w:type="gramEnd"/>
      <w:r w:rsidRPr="00A93052">
        <w:rPr>
          <w:bCs/>
          <w:bdr w:val="none" w:sz="0" w:space="0" w:color="auto" w:frame="1"/>
        </w:rPr>
        <w:t>.) egyéb hatása: nincs.</w:t>
      </w:r>
    </w:p>
    <w:p w:rsidR="00586FE7" w:rsidRPr="00A93052" w:rsidRDefault="00586FE7" w:rsidP="00586FE7">
      <w:pPr>
        <w:ind w:left="2880" w:hanging="2880"/>
        <w:jc w:val="both"/>
        <w:rPr>
          <w:bCs/>
          <w:bdr w:val="none" w:sz="0" w:space="0" w:color="auto" w:frame="1"/>
        </w:rPr>
      </w:pPr>
    </w:p>
    <w:p w:rsidR="00586FE7" w:rsidRPr="00A93052" w:rsidRDefault="00586FE7" w:rsidP="00586FE7">
      <w:pPr>
        <w:jc w:val="both"/>
      </w:pPr>
      <w:r w:rsidRPr="00A93052">
        <w:rPr>
          <w:bCs/>
          <w:bdr w:val="none" w:sz="0" w:space="0" w:color="auto" w:frame="1"/>
        </w:rPr>
        <w:t>A rendelet módosításának szükségessége:</w:t>
      </w:r>
      <w:r w:rsidRPr="00A93052">
        <w:t xml:space="preserve"> szociálisan rászorult kérelmezők magasabb összegű támogatásban részesítése. </w:t>
      </w:r>
    </w:p>
    <w:p w:rsidR="00586FE7" w:rsidRPr="00A93052" w:rsidRDefault="00586FE7" w:rsidP="00586FE7">
      <w:pPr>
        <w:jc w:val="both"/>
      </w:pPr>
    </w:p>
    <w:p w:rsidR="00586FE7" w:rsidRPr="00A93052" w:rsidRDefault="00586FE7" w:rsidP="00586FE7">
      <w:pPr>
        <w:jc w:val="both"/>
        <w:rPr>
          <w:bCs/>
          <w:bdr w:val="none" w:sz="0" w:space="0" w:color="auto" w:frame="1"/>
        </w:rPr>
      </w:pPr>
    </w:p>
    <w:p w:rsidR="00586FE7" w:rsidRPr="00A93052" w:rsidRDefault="00586FE7" w:rsidP="00586FE7">
      <w:pPr>
        <w:jc w:val="both"/>
        <w:rPr>
          <w:bCs/>
          <w:bdr w:val="none" w:sz="0" w:space="0" w:color="auto" w:frame="1"/>
        </w:rPr>
      </w:pPr>
      <w:r w:rsidRPr="00A93052">
        <w:rPr>
          <w:bCs/>
          <w:bdr w:val="none" w:sz="0" w:space="0" w:color="auto" w:frame="1"/>
        </w:rPr>
        <w:t xml:space="preserve">A rendelet alkalmazásához szükséges feltételek: </w:t>
      </w:r>
      <w:r w:rsidRPr="00A93052">
        <w:rPr>
          <w:bCs/>
          <w:bdr w:val="none" w:sz="0" w:space="0" w:color="auto" w:frame="1"/>
        </w:rPr>
        <w:tab/>
      </w:r>
      <w:r w:rsidRPr="00A93052">
        <w:rPr>
          <w:bCs/>
          <w:bdr w:val="none" w:sz="0" w:space="0" w:color="auto" w:frame="1"/>
        </w:rPr>
        <w:tab/>
        <w:t>- személyi: rendelkezésre áll,</w:t>
      </w:r>
    </w:p>
    <w:p w:rsidR="00586FE7" w:rsidRPr="00A93052" w:rsidRDefault="00586FE7" w:rsidP="00586FE7">
      <w:pPr>
        <w:ind w:left="4956" w:firstLine="708"/>
        <w:jc w:val="both"/>
        <w:rPr>
          <w:bCs/>
          <w:bdr w:val="none" w:sz="0" w:space="0" w:color="auto" w:frame="1"/>
        </w:rPr>
      </w:pPr>
      <w:r w:rsidRPr="00A93052">
        <w:rPr>
          <w:bCs/>
          <w:bdr w:val="none" w:sz="0" w:space="0" w:color="auto" w:frame="1"/>
        </w:rPr>
        <w:t>- szervezeti: rendelkezésre áll,</w:t>
      </w:r>
    </w:p>
    <w:p w:rsidR="00586FE7" w:rsidRPr="00A93052" w:rsidRDefault="00586FE7" w:rsidP="00586FE7">
      <w:pPr>
        <w:ind w:left="4956" w:firstLine="708"/>
        <w:jc w:val="both"/>
        <w:rPr>
          <w:bCs/>
          <w:bdr w:val="none" w:sz="0" w:space="0" w:color="auto" w:frame="1"/>
        </w:rPr>
      </w:pPr>
      <w:r w:rsidRPr="00A93052">
        <w:rPr>
          <w:bCs/>
          <w:bdr w:val="none" w:sz="0" w:space="0" w:color="auto" w:frame="1"/>
        </w:rPr>
        <w:t>- tárgyi: rendelkezésre áll,</w:t>
      </w:r>
    </w:p>
    <w:p w:rsidR="00586FE7" w:rsidRPr="00A93052" w:rsidRDefault="00586FE7" w:rsidP="00586FE7">
      <w:pPr>
        <w:ind w:left="4956" w:firstLine="708"/>
        <w:jc w:val="both"/>
        <w:rPr>
          <w:bCs/>
          <w:bdr w:val="none" w:sz="0" w:space="0" w:color="auto" w:frame="1"/>
        </w:rPr>
      </w:pPr>
      <w:r w:rsidRPr="00A93052">
        <w:rPr>
          <w:bCs/>
          <w:bdr w:val="none" w:sz="0" w:space="0" w:color="auto" w:frame="1"/>
        </w:rPr>
        <w:t xml:space="preserve">- pénzügyi: rendelkezésre áll. </w:t>
      </w:r>
    </w:p>
    <w:p w:rsidR="00586FE7" w:rsidRDefault="00586FE7" w:rsidP="00586FE7">
      <w:pPr>
        <w:jc w:val="both"/>
      </w:pPr>
    </w:p>
    <w:p w:rsidR="00C70217" w:rsidRDefault="00C70217">
      <w:bookmarkStart w:id="0" w:name="_GoBack"/>
      <w:bookmarkEnd w:id="0"/>
    </w:p>
    <w:sectPr w:rsidR="00C70217" w:rsidSect="00051F7A">
      <w:headerReference w:type="even" r:id="rId4"/>
      <w:headerReference w:type="default" r:id="rId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F7A" w:rsidRDefault="00586FE7" w:rsidP="00EA2C4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51F7A" w:rsidRDefault="00586FE7" w:rsidP="00051F7A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185284"/>
      <w:docPartObj>
        <w:docPartGallery w:val="Page Numbers (Top of Page)"/>
        <w:docPartUnique/>
      </w:docPartObj>
    </w:sdtPr>
    <w:sdtEndPr/>
    <w:sdtContent>
      <w:p w:rsidR="00395CE1" w:rsidRDefault="00586FE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E7"/>
    <w:rsid w:val="00586FE7"/>
    <w:rsid w:val="00C7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9F938-C942-4E18-9A96-735A4D64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6FE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86F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6FE7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586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Nagy Alexandra Petra</dc:creator>
  <cp:keywords/>
  <dc:description/>
  <cp:lastModifiedBy>Szabóné Nagy Alexandra Petra</cp:lastModifiedBy>
  <cp:revision>1</cp:revision>
  <dcterms:created xsi:type="dcterms:W3CDTF">2020-11-26T09:39:00Z</dcterms:created>
  <dcterms:modified xsi:type="dcterms:W3CDTF">2020-11-26T09:39:00Z</dcterms:modified>
</cp:coreProperties>
</file>