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Szolnok Megyei Jogú Város Önkormányzata Polgármesterének</w:t>
      </w:r>
    </w:p>
    <w:p w:rsidR="00591808" w:rsidRDefault="00591808" w:rsidP="005918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Szolnok Megyei Jogú Város Közgyűlésének 7/2020.(II.28.) önkormányzati rendelete módosításáról szóló 6/2020. (IV.30.) önkormányzati rendeletéhez</w:t>
      </w:r>
    </w:p>
    <w:p w:rsidR="00591808" w:rsidRDefault="00591808" w:rsidP="00591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4136757"/>
      <w:r w:rsidRPr="00043365">
        <w:rPr>
          <w:rFonts w:ascii="Times New Roman" w:eastAsia="Times New Roman" w:hAnsi="Times New Roman" w:cs="Times New Roman"/>
          <w:sz w:val="24"/>
          <w:szCs w:val="24"/>
        </w:rPr>
        <w:t xml:space="preserve">A Magyarország helyi önkormányzatairól szóló 2011. évi CLXXXIX. törvény </w:t>
      </w:r>
      <w:r>
        <w:rPr>
          <w:rFonts w:ascii="Times New Roman" w:eastAsia="Times New Roman" w:hAnsi="Times New Roman" w:cs="Times New Roman"/>
          <w:sz w:val="24"/>
          <w:szCs w:val="24"/>
        </w:rPr>
        <w:t>35.§ (1)-(2) bekezdése szerint a</w:t>
      </w:r>
      <w:r w:rsidRPr="00043365">
        <w:rPr>
          <w:rFonts w:ascii="Times New Roman" w:eastAsia="Times New Roman" w:hAnsi="Times New Roman" w:cs="Times New Roman"/>
          <w:sz w:val="24"/>
          <w:szCs w:val="24"/>
        </w:rPr>
        <w:t xml:space="preserve"> képviselő-testület az </w:t>
      </w:r>
      <w:r>
        <w:rPr>
          <w:rFonts w:ascii="Times New Roman" w:eastAsia="Times New Roman" w:hAnsi="Times New Roman" w:cs="Times New Roman"/>
          <w:sz w:val="24"/>
          <w:szCs w:val="24"/>
        </w:rPr>
        <w:t>önkormányzati képviselőnek, a bizottsági elnöknek, a bizottság tagjának, a tanácsnoknak rendeletében meghatározott tiszteletdíjat, természetbeni juttatást állapíthat meg</w:t>
      </w:r>
      <w:r w:rsidRPr="0004336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591808" w:rsidRDefault="00591808" w:rsidP="0059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jelenlegi veszélyhelyzetben és várhatóan azt követően is az önkormányzati források csökkenése várható, amelynek kiegyensúlyozása érdekében az önkormányzat 2020. évi költségvetésének áttervezése szükséges, a forrásokat a kialakult helyzethez kell igazítani, ezért indokolt a rendelet módosítása.</w:t>
      </w:r>
    </w:p>
    <w:p w:rsidR="00591808" w:rsidRPr="00E0057E" w:rsidRDefault="00591808" w:rsidP="0059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808" w:rsidRPr="00E0057E" w:rsidRDefault="00591808" w:rsidP="00591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7E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0"/>
    <w:p w:rsidR="00591808" w:rsidRPr="00E0057E" w:rsidRDefault="00591808" w:rsidP="00591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1. §-hoz</w:t>
      </w: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jc w:val="both"/>
        <w:rPr>
          <w:rFonts w:ascii="Times New Roman" w:hAnsi="Times New Roman" w:cs="Times New Roman"/>
          <w:sz w:val="24"/>
          <w:szCs w:val="24"/>
        </w:rPr>
      </w:pPr>
      <w:r w:rsidRPr="00F144E0">
        <w:rPr>
          <w:rFonts w:ascii="Times New Roman" w:hAnsi="Times New Roman" w:cs="Times New Roman"/>
          <w:sz w:val="24"/>
          <w:szCs w:val="24"/>
        </w:rPr>
        <w:t xml:space="preserve">A tanácsnoki díj </w:t>
      </w:r>
      <w:r>
        <w:rPr>
          <w:rFonts w:ascii="Times New Roman" w:hAnsi="Times New Roman" w:cs="Times New Roman"/>
          <w:sz w:val="24"/>
          <w:szCs w:val="24"/>
        </w:rPr>
        <w:t xml:space="preserve">2020. december 31. napjáig történő </w:t>
      </w:r>
      <w:r w:rsidRPr="00F144E0">
        <w:rPr>
          <w:rFonts w:ascii="Times New Roman" w:hAnsi="Times New Roman" w:cs="Times New Roman"/>
          <w:sz w:val="24"/>
          <w:szCs w:val="24"/>
        </w:rPr>
        <w:t>megszüntetéséről</w:t>
      </w:r>
      <w:r>
        <w:rPr>
          <w:rFonts w:ascii="Times New Roman" w:hAnsi="Times New Roman" w:cs="Times New Roman"/>
          <w:sz w:val="24"/>
          <w:szCs w:val="24"/>
        </w:rPr>
        <w:t>, majd ezt követő visszaállításáról</w:t>
      </w:r>
      <w:r w:rsidRPr="00F144E0">
        <w:rPr>
          <w:rFonts w:ascii="Times New Roman" w:hAnsi="Times New Roman" w:cs="Times New Roman"/>
          <w:sz w:val="24"/>
          <w:szCs w:val="24"/>
        </w:rPr>
        <w:t xml:space="preserve"> rendelkezik.</w:t>
      </w:r>
    </w:p>
    <w:p w:rsidR="00591808" w:rsidRDefault="00591808" w:rsidP="00591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591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2. §-hoz</w:t>
      </w:r>
    </w:p>
    <w:p w:rsidR="00591808" w:rsidRDefault="00591808" w:rsidP="00591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08" w:rsidRDefault="00591808" w:rsidP="0059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2674B2">
        <w:rPr>
          <w:rFonts w:ascii="Times New Roman" w:hAnsi="Times New Roman" w:cs="Times New Roman"/>
          <w:sz w:val="24"/>
          <w:szCs w:val="24"/>
        </w:rPr>
        <w:t>atályba</w:t>
      </w:r>
      <w:r>
        <w:rPr>
          <w:rFonts w:ascii="Times New Roman" w:hAnsi="Times New Roman" w:cs="Times New Roman"/>
          <w:sz w:val="24"/>
          <w:szCs w:val="24"/>
        </w:rPr>
        <w:t xml:space="preserve"> léptető és hatályon kívül helyező rendelkezések.</w:t>
      </w:r>
    </w:p>
    <w:p w:rsidR="00591808" w:rsidRDefault="00591808" w:rsidP="00591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Pr="002F74D2" w:rsidRDefault="00591808" w:rsidP="00591808">
      <w:pPr>
        <w:spacing w:after="0" w:line="240" w:lineRule="auto"/>
        <w:ind w:left="1080" w:right="1043" w:firstLine="2126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lastRenderedPageBreak/>
        <w:t>Előzetes Hatásvizsgálat</w:t>
      </w:r>
    </w:p>
    <w:p w:rsidR="00591808" w:rsidRPr="002F74D2" w:rsidRDefault="00591808" w:rsidP="00591808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 jogalkotásról szóló 2010. évi CXXX. törvény 17.§-a alapján</w:t>
      </w:r>
    </w:p>
    <w:p w:rsidR="00591808" w:rsidRPr="002F74D2" w:rsidRDefault="00591808" w:rsidP="00591808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</w:p>
    <w:p w:rsidR="00591808" w:rsidRPr="002F74D2" w:rsidRDefault="00591808" w:rsidP="00591808">
      <w:pPr>
        <w:spacing w:after="0" w:line="240" w:lineRule="auto"/>
        <w:ind w:left="26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91808" w:rsidRPr="002F74D2" w:rsidRDefault="00591808" w:rsidP="0059180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4D2">
        <w:rPr>
          <w:rFonts w:ascii="Times New Roman" w:hAnsi="Times New Roman" w:cs="Times New Roman"/>
          <w:b/>
          <w:sz w:val="24"/>
          <w:szCs w:val="24"/>
          <w:u w:val="single"/>
        </w:rPr>
        <w:t>Az önkormányzati rendelet hatásai</w:t>
      </w:r>
    </w:p>
    <w:p w:rsidR="00591808" w:rsidRPr="002F74D2" w:rsidRDefault="00591808" w:rsidP="00591808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808" w:rsidRPr="002F74D2" w:rsidRDefault="00591808" w:rsidP="00591808">
      <w:pPr>
        <w:pStyle w:val="Listaszerbekezds"/>
        <w:numPr>
          <w:ilvl w:val="0"/>
          <w:numId w:val="2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társadalmi hatásai:</w:t>
      </w:r>
    </w:p>
    <w:p w:rsidR="00591808" w:rsidRPr="002F74D2" w:rsidRDefault="00591808" w:rsidP="00591808">
      <w:pPr>
        <w:pStyle w:val="Listaszerbekezds"/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nincsenek</w:t>
      </w:r>
    </w:p>
    <w:p w:rsidR="00591808" w:rsidRPr="002F74D2" w:rsidRDefault="00591808" w:rsidP="00591808">
      <w:pPr>
        <w:pStyle w:val="Nincstrkz"/>
        <w:rPr>
          <w:rFonts w:ascii="Times New Roman" w:hAnsi="Times New Roman"/>
          <w:sz w:val="24"/>
          <w:szCs w:val="24"/>
        </w:rPr>
      </w:pPr>
      <w:r w:rsidRPr="002F74D2"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 w:rsidRPr="002F74D2">
        <w:rPr>
          <w:rFonts w:ascii="Times New Roman" w:hAnsi="Times New Roman"/>
          <w:b/>
          <w:sz w:val="24"/>
          <w:szCs w:val="24"/>
        </w:rPr>
        <w:t>b.</w:t>
      </w:r>
      <w:proofErr w:type="spellEnd"/>
      <w:r w:rsidRPr="002F74D2">
        <w:rPr>
          <w:rFonts w:ascii="Times New Roman" w:hAnsi="Times New Roman"/>
          <w:b/>
          <w:sz w:val="24"/>
          <w:szCs w:val="24"/>
        </w:rPr>
        <w:t>) gazdasági hatásai:</w:t>
      </w:r>
    </w:p>
    <w:p w:rsidR="00591808" w:rsidRPr="002F74D2" w:rsidRDefault="00591808" w:rsidP="00591808">
      <w:pPr>
        <w:spacing w:after="0" w:line="240" w:lineRule="auto"/>
        <w:ind w:left="749" w:right="14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az intézkedés az Önkormányzat költségvetési egyensúlyának megőrzését segíti</w:t>
      </w:r>
    </w:p>
    <w:p w:rsidR="00591808" w:rsidRPr="002F74D2" w:rsidRDefault="00591808" w:rsidP="00591808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költségvetési hatásai:</w:t>
      </w:r>
    </w:p>
    <w:p w:rsidR="00591808" w:rsidRPr="002F74D2" w:rsidRDefault="00591808" w:rsidP="00591808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intézkedés – a jelenlegi kiadások szerint - az Ö</w:t>
      </w:r>
      <w:r w:rsidRPr="002F74D2">
        <w:rPr>
          <w:rFonts w:ascii="Times New Roman" w:hAnsi="Times New Roman" w:cs="Times New Roman"/>
          <w:sz w:val="24"/>
          <w:szCs w:val="24"/>
        </w:rPr>
        <w:t xml:space="preserve">nkormányzat </w:t>
      </w:r>
      <w:r>
        <w:rPr>
          <w:rFonts w:ascii="Times New Roman" w:hAnsi="Times New Roman" w:cs="Times New Roman"/>
          <w:sz w:val="24"/>
          <w:szCs w:val="24"/>
        </w:rPr>
        <w:t xml:space="preserve">2020. évi </w:t>
      </w:r>
      <w:r w:rsidRPr="002F74D2">
        <w:rPr>
          <w:rFonts w:ascii="Times New Roman" w:hAnsi="Times New Roman" w:cs="Times New Roman"/>
          <w:sz w:val="24"/>
          <w:szCs w:val="24"/>
        </w:rPr>
        <w:t>költségvetés</w:t>
      </w:r>
      <w:r>
        <w:rPr>
          <w:rFonts w:ascii="Times New Roman" w:hAnsi="Times New Roman" w:cs="Times New Roman"/>
          <w:sz w:val="24"/>
          <w:szCs w:val="24"/>
        </w:rPr>
        <w:t>ében 1.215.375.- Ft összegű havi megtakarítást eredményez, melyet a kieső bevételek helyett veszélyhelyzetben a védekezésre, az azt követő időszakban a legszükségesebb önkormányzati feladatok biztosítására lehet fordítani</w:t>
      </w:r>
      <w:r w:rsidRPr="002F7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808" w:rsidRPr="002F74D2" w:rsidRDefault="00591808" w:rsidP="00591808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környezeti következményei: </w:t>
      </w:r>
    </w:p>
    <w:p w:rsidR="00591808" w:rsidRPr="002F74D2" w:rsidRDefault="00591808" w:rsidP="00591808">
      <w:pPr>
        <w:pStyle w:val="Listaszerbekezds"/>
        <w:spacing w:after="0" w:line="240" w:lineRule="auto"/>
        <w:ind w:left="1080" w:right="1817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nincsenek</w:t>
      </w:r>
    </w:p>
    <w:p w:rsidR="00591808" w:rsidRPr="002F74D2" w:rsidRDefault="00591808" w:rsidP="00591808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egészségi következményei:</w:t>
      </w:r>
    </w:p>
    <w:p w:rsidR="00591808" w:rsidRPr="002F74D2" w:rsidRDefault="00591808" w:rsidP="00591808">
      <w:pPr>
        <w:pStyle w:val="Listaszerbekezds"/>
        <w:spacing w:after="0" w:line="240" w:lineRule="auto"/>
        <w:ind w:left="108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nincsenek</w:t>
      </w:r>
    </w:p>
    <w:p w:rsidR="00591808" w:rsidRPr="002F74D2" w:rsidRDefault="00591808" w:rsidP="00591808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adminisztratív terheket befolyásoló hatásai: </w:t>
      </w:r>
    </w:p>
    <w:p w:rsidR="00591808" w:rsidRPr="002F74D2" w:rsidRDefault="00591808" w:rsidP="00591808">
      <w:pPr>
        <w:pStyle w:val="Listaszerbekezds"/>
        <w:spacing w:after="0" w:line="240" w:lineRule="auto"/>
        <w:ind w:left="108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számottevő</w:t>
      </w:r>
    </w:p>
    <w:p w:rsidR="00591808" w:rsidRPr="002F74D2" w:rsidRDefault="00591808" w:rsidP="00591808">
      <w:p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808" w:rsidRPr="002F74D2" w:rsidRDefault="00591808" w:rsidP="0059180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  <w:u w:val="single" w:color="000000"/>
        </w:rPr>
        <w:t>Az önkormányzati rendelet megalkotásának szükségessége, elmaradásának várható következményei</w:t>
      </w:r>
    </w:p>
    <w:p w:rsidR="00591808" w:rsidRPr="002F74D2" w:rsidRDefault="00591808" w:rsidP="00591808">
      <w:pPr>
        <w:spacing w:after="0" w:line="240" w:lineRule="auto"/>
        <w:ind w:left="1134" w:right="14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 jogalkotás</w:t>
      </w:r>
      <w:r>
        <w:rPr>
          <w:rFonts w:ascii="Times New Roman" w:hAnsi="Times New Roman" w:cs="Times New Roman"/>
          <w:sz w:val="24"/>
          <w:szCs w:val="24"/>
        </w:rPr>
        <w:t xml:space="preserve"> célja az önkormányzat gazdasági stabilitásának megőrzése a veszélyhelyzetben és azt követően</w:t>
      </w:r>
      <w:r w:rsidRPr="002F74D2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91808" w:rsidRPr="002F74D2" w:rsidRDefault="00591808" w:rsidP="00591808">
      <w:pPr>
        <w:spacing w:after="0" w:line="240" w:lineRule="auto"/>
        <w:ind w:left="28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Pr="002F74D2" w:rsidRDefault="00591808" w:rsidP="0059180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2F74D2">
        <w:rPr>
          <w:rFonts w:ascii="Times New Roman" w:hAnsi="Times New Roman" w:cs="Times New Roman"/>
          <w:b/>
          <w:sz w:val="24"/>
          <w:szCs w:val="24"/>
          <w:u w:val="single" w:color="000000"/>
        </w:rPr>
        <w:t>Az önkormányzati rendelet alkalmazásához szükséges feltételek</w:t>
      </w:r>
    </w:p>
    <w:p w:rsidR="00591808" w:rsidRPr="002F74D2" w:rsidRDefault="00591808" w:rsidP="00591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:rsidR="00591808" w:rsidRPr="002F74D2" w:rsidRDefault="00591808" w:rsidP="0059180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személyi feltételek:</w:t>
      </w:r>
    </w:p>
    <w:p w:rsidR="00591808" w:rsidRPr="002F74D2" w:rsidRDefault="00591808" w:rsidP="00591808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591808" w:rsidRPr="002F74D2" w:rsidRDefault="00591808" w:rsidP="0059180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szervezeti feltételek</w:t>
      </w:r>
    </w:p>
    <w:p w:rsidR="00591808" w:rsidRPr="002F74D2" w:rsidRDefault="00591808" w:rsidP="00591808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591808" w:rsidRPr="002F74D2" w:rsidRDefault="00591808" w:rsidP="0059180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tárgyi feltételek:</w:t>
      </w:r>
    </w:p>
    <w:p w:rsidR="00591808" w:rsidRPr="002F74D2" w:rsidRDefault="00591808" w:rsidP="00591808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591808" w:rsidRPr="002F74D2" w:rsidRDefault="00591808" w:rsidP="0059180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pénzügyi feltételek:</w:t>
      </w:r>
    </w:p>
    <w:p w:rsidR="00591808" w:rsidRPr="0061542D" w:rsidRDefault="00591808" w:rsidP="00591808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591808" w:rsidRPr="0061542D" w:rsidRDefault="00591808" w:rsidP="00591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08" w:rsidRDefault="00591808" w:rsidP="00591808"/>
    <w:p w:rsidR="00BE01B5" w:rsidRDefault="00591808"/>
    <w:sectPr w:rsidR="00BE01B5" w:rsidSect="00B05E82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2556810"/>
      <w:docPartObj>
        <w:docPartGallery w:val="Page Numbers (Top of Page)"/>
        <w:docPartUnique/>
      </w:docPartObj>
    </w:sdtPr>
    <w:sdtEndPr/>
    <w:sdtContent>
      <w:p w:rsidR="00B05E82" w:rsidRDefault="0059180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5E82" w:rsidRDefault="00591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2B24"/>
    <w:multiLevelType w:val="hybridMultilevel"/>
    <w:tmpl w:val="134239D2"/>
    <w:lvl w:ilvl="0" w:tplc="3E82561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AF9"/>
    <w:multiLevelType w:val="hybridMultilevel"/>
    <w:tmpl w:val="D9505AD6"/>
    <w:lvl w:ilvl="0" w:tplc="9DA2D81A">
      <w:start w:val="1"/>
      <w:numFmt w:val="lowerLetter"/>
      <w:lvlText w:val="%1.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8D1B38"/>
    <w:multiLevelType w:val="hybridMultilevel"/>
    <w:tmpl w:val="101C4E44"/>
    <w:lvl w:ilvl="0" w:tplc="C526BC7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F5CE7"/>
    <w:multiLevelType w:val="hybridMultilevel"/>
    <w:tmpl w:val="51D4BD68"/>
    <w:lvl w:ilvl="0" w:tplc="D436AFDE">
      <w:start w:val="3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08"/>
    <w:rsid w:val="000D5A5D"/>
    <w:rsid w:val="005334BC"/>
    <w:rsid w:val="005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1650A-C372-4FE1-BE04-3716BFC3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18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1808"/>
    <w:pPr>
      <w:spacing w:after="200" w:line="276" w:lineRule="auto"/>
      <w:ind w:left="720"/>
      <w:contextualSpacing/>
    </w:pPr>
  </w:style>
  <w:style w:type="paragraph" w:styleId="Nincstrkz">
    <w:name w:val="No Spacing"/>
    <w:uiPriority w:val="1"/>
    <w:qFormat/>
    <w:rsid w:val="00591808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9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2020-04-30T13:37:00Z</dcterms:created>
  <dcterms:modified xsi:type="dcterms:W3CDTF">2020-04-30T13:38:00Z</dcterms:modified>
</cp:coreProperties>
</file>