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79" w:rsidRPr="00402879" w:rsidRDefault="00402879" w:rsidP="00185244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733486" w:rsidRDefault="00733486" w:rsidP="008959C2">
      <w:pPr>
        <w:tabs>
          <w:tab w:val="left" w:pos="6521"/>
        </w:tabs>
      </w:pPr>
    </w:p>
    <w:p w:rsidR="001E2E89" w:rsidRPr="00ED5145" w:rsidRDefault="001E2E89" w:rsidP="00185244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Apátistvánfalva Község Önkormányzata Képviselő-testületének</w:t>
      </w:r>
    </w:p>
    <w:p w:rsidR="0034670F" w:rsidRPr="0034670F" w:rsidRDefault="00DE797B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8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2017.</w:t>
      </w:r>
      <w:r w:rsidR="007A066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IX.21.</w:t>
      </w:r>
      <w:r w:rsidR="001D770C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) 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önkormányzati rendelete</w:t>
      </w:r>
    </w:p>
    <w:p w:rsidR="0034670F" w:rsidRPr="0034670F" w:rsidRDefault="0034670F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Apátistvánfalva Község Önkormányzatának 201</w:t>
      </w:r>
      <w:r w:rsidR="006146FE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 évi költségvetéséről szóló</w:t>
      </w:r>
    </w:p>
    <w:p w:rsidR="0034670F" w:rsidRPr="0034670F" w:rsidRDefault="0034670F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2/201</w:t>
      </w:r>
      <w:r w:rsidR="006146FE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 (I.</w:t>
      </w:r>
      <w:r w:rsidR="006146FE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30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.) önkormányzati rendelet módosításáról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Apátistvánfalva Község Önkormányzatának képviselő-testülete az Alaptörvény 32. cikk (2) bekezdésében meghatározott eredeti jogalkotói hatáskörében és az Alaptörvény 32. cikk (1) bekezdés f) pontjaiban meghatározott feladatkörében eljárva az önkormányzat 201</w:t>
      </w:r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 évi költségvetéséről az alábbi rendeletet alkotja: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§ Az Apátistvánfalva Község 201</w:t>
      </w:r>
      <w:r w:rsidR="006146FE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 évi költségvetéséről szóló 2/201</w:t>
      </w:r>
      <w:r w:rsidR="006146FE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 (I.</w:t>
      </w:r>
      <w:r w:rsidR="006146FE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30.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) Önkormányzati Rendelet (továbbiakban Rendelet</w:t>
      </w:r>
      <w:proofErr w:type="gramStart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)  2</w:t>
      </w:r>
      <w:proofErr w:type="gramEnd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 §</w:t>
      </w:r>
      <w:proofErr w:type="spellStart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-a</w:t>
      </w:r>
      <w:proofErr w:type="spellEnd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helyébe a következő rendelkezés lép: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„2. § (1) A Képviselő-testület Apátistvánfalva Község Önkormányzata 201</w:t>
      </w:r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 évi költségvetésének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kiadási főösszegét</w:t>
      </w:r>
      <w:r w:rsidR="00571E8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926F79" w:rsidRPr="00926F79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6</w:t>
      </w:r>
      <w:r w:rsidR="0043615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6.276.982 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Ft-ban,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azaz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hatvan</w:t>
      </w:r>
      <w:r w:rsidR="0043615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hat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millió</w:t>
      </w:r>
      <w:r w:rsidR="004D226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 w:rsidR="006146F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</w:t>
      </w:r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ettő</w:t>
      </w:r>
      <w:r w:rsidR="004D226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száz</w:t>
      </w:r>
      <w:r w:rsidR="0043615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hetvenhat</w:t>
      </w:r>
      <w:r w:rsidR="004D226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ezer</w:t>
      </w:r>
      <w:r w:rsidR="00A17C3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 w:rsidR="006146F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kilencszáz</w:t>
      </w:r>
      <w:r w:rsidR="0043615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nyolcvank</w:t>
      </w:r>
      <w:r w:rsidR="005400B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ettő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forintban,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bevételi főösszegét </w:t>
      </w:r>
      <w:r w:rsidR="0043615F" w:rsidRPr="00926F79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6</w:t>
      </w:r>
      <w:r w:rsidR="0043615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6.276.982</w:t>
      </w:r>
      <w:r w:rsidR="0043615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43615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Ft-ban, </w:t>
      </w:r>
      <w:r w:rsidR="0043615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azaz </w:t>
      </w:r>
      <w:r w:rsidR="0043615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hatvanhatmillió-kettőszá</w:t>
      </w:r>
      <w:r w:rsidR="005400B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zhetvenhatezer</w:t>
      </w:r>
      <w:r w:rsidR="00A17C3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 w:rsidR="005400B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kilencszáznyolcvankettő</w:t>
      </w:r>
      <w:r w:rsidR="0043615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forintban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állapítja meg.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(2) A költségvetés összevont mérlegadatait az 1. melléklet, a 201</w:t>
      </w:r>
      <w:r w:rsidR="006146F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 évi összevont mérleget működési és felhalmozási célú bevételek és kiadások bontásban a 2.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(3) Az Önkormányzat költségvetésének működési kiadásait, annak forrásait a 3.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(4) A Képviselő-testület a költségvetés bevételi főösszegét, és a bevételi jogcímek összegét a rendelet 5. melléklete szerint határozza meg. Az állami támogatásokat a 6. melléklet részletezi.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(5) A költségvetésben a beruházások és felújítások kiadásait a 4. melléklet feladatonként és kiemelt előirányzatonként mutatja be.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(6). Az Önkormányzat saját bevételeinek és adósságot keletkeztető ügyletekből és kezességvállalásokból fennálló kötelezettségeinek összegeit az 13.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(7). Az Önkormányzat hitelterheit a 9. melléklet, a több éves kihatással járó feladatokat a 11. melléklet, az Önkormányzat Európai Uniós projektjeit a 8. melléklet mutatja.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(8) A Képviselő-testület a költségvetési szervek létszámkeretét a 7. mellékletben részletezetteknek megfelelően határozza meg.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(9) Apátistvánfalva Község Önkormányzat által nyújtott 201</w:t>
      </w:r>
      <w:r w:rsidR="00571E8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évi közvetett támogatások összegeit a 12. melléklet mutatja be.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(10) A költségvetés bevételi és kiadási előirányzatainak teljesítéséről az előirányzat felhasználási ütemtervet a 10. melléklet tartalmazza”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2. § A </w:t>
      </w:r>
      <w:r w:rsidR="001D770C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R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endelet 3. § helyébe a következő rendelkezés lép: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„3. § (1) A Képviselő-testület a rendelet 2. § (1) bekezdésben meghatározott bevételi főösszeg forrásait és azok összegét - a rendelet 2. és 5. mellékletében részletezettek alapján - az</w:t>
      </w:r>
      <w:r w:rsidR="001D770C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alábbiak szerint határozza meg.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(2) Működési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bevételek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</w:t>
      </w:r>
      <w:r w:rsidR="0038300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</w:t>
      </w:r>
      <w:proofErr w:type="gramEnd"/>
      <w:r w:rsidR="0038300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.554.740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4D2267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intézményi m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űködési bevételek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1.125.000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b)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ö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nkormányzatok sajátos működési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bevétele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.620.000 Ft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c)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m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űködési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támogatások</w:t>
      </w:r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2</w:t>
      </w:r>
      <w:r w:rsidR="0038300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</w:t>
      </w:r>
      <w:proofErr w:type="gramEnd"/>
      <w:r w:rsidR="0038300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.789.714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d)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gyéb működési </w:t>
      </w:r>
      <w:proofErr w:type="spellStart"/>
      <w:r w:rsidR="004D226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c.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bevételek</w:t>
      </w:r>
      <w:proofErr w:type="spellEnd"/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áh-n</w:t>
      </w:r>
      <w:proofErr w:type="spellEnd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belülről    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5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011.451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10592B" w:rsidRPr="0034670F" w:rsidRDefault="0010592B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működési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c.átvett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pénzeszközök                                        8.575 Ft    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(3) Felhalmozási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bevételek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</w:t>
      </w:r>
      <w:r w:rsidR="0038300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391.</w:t>
      </w:r>
      <w:proofErr w:type="gramEnd"/>
      <w:r w:rsidR="0038300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425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elhalmozási bevételek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0 Ft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elhalmozási </w:t>
      </w:r>
      <w:proofErr w:type="spellStart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c.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támogatások</w:t>
      </w:r>
      <w:proofErr w:type="spellEnd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áh-n</w:t>
      </w:r>
      <w:proofErr w:type="spellEnd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belülről                   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0</w:t>
      </w:r>
      <w:proofErr w:type="gramEnd"/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Ft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c) 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elhalmozási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c. átvett </w:t>
      </w:r>
      <w:proofErr w:type="gramStart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pénzeszközök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D4353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</w:t>
      </w:r>
      <w:r w:rsidR="00A8436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91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proofErr w:type="gramEnd"/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425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(4) Támogatási kölcsönök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visszat</w:t>
      </w:r>
      <w:proofErr w:type="spellEnd"/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.,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igénybevét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      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0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(5) Költségvetési bevételek előirányzat összesen</w:t>
      </w:r>
      <w:proofErr w:type="gramStart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: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ab/>
        <w:t xml:space="preserve">                        </w:t>
      </w:r>
      <w:r w:rsidR="00EB69D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="0010592B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</w:t>
      </w:r>
      <w:r w:rsidR="00EB69D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3</w:t>
      </w:r>
      <w:r w:rsidR="0010592B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8</w:t>
      </w:r>
      <w:proofErr w:type="gramEnd"/>
      <w:r w:rsidR="0010592B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.946.165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(6)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Az önkormányzat összesített bevételeiből</w:t>
      </w:r>
    </w:p>
    <w:p w:rsidR="0034670F" w:rsidRPr="0034670F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kötelező feladatok bevételei:  </w:t>
      </w:r>
      <w:r w:rsidR="00B815B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4D226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6.276.982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Ft,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(7) Az önkormányzat összesített bevételeiből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működési bevételek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5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9.276.982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Ft,</w:t>
      </w:r>
    </w:p>
    <w:p w:rsidR="0034670F" w:rsidRPr="0034670F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B815B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felhalmozási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bevételek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.000.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000 Ft.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(8) Költségvetési hiány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belső finanszírozása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pénzforgalom nélküli bevétel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ét</w:t>
      </w:r>
    </w:p>
    <w:p w:rsidR="00EB69D4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az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előző évek maradvány igénybevétele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jelenti a következők szerint:</w:t>
      </w:r>
    </w:p>
    <w:p w:rsidR="0034670F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működési maradvány                   20.330.817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EB69D4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b) felhalmozási </w:t>
      </w:r>
      <w:proofErr w:type="gramStart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maradvány                7</w:t>
      </w:r>
      <w:proofErr w:type="gramEnd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.000.000 Ft.</w:t>
      </w:r>
    </w:p>
    <w:p w:rsidR="00EB69D4" w:rsidRPr="0034670F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lastRenderedPageBreak/>
        <w:t xml:space="preserve"> (9) Finanszírozási bevételek előirányzat összesen</w:t>
      </w:r>
      <w:proofErr w:type="gramStart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: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ab/>
        <w:t xml:space="preserve">                        </w:t>
      </w:r>
      <w:r w:rsidR="00EB69D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27</w:t>
      </w:r>
      <w:proofErr w:type="gramEnd"/>
      <w:r w:rsidR="00EB69D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.330.817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Ft”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3. § A </w:t>
      </w:r>
      <w:r w:rsidR="001D770C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R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endelet 4. §</w:t>
      </w:r>
      <w:proofErr w:type="spellStart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-a</w:t>
      </w:r>
      <w:proofErr w:type="spellEnd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</w:t>
      </w:r>
      <w:r w:rsidR="00B815B6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helyébe a következő rendelkezés lép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: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„4. § A Képviselő-testület Apátistvánfalva Község Önkormányzata kiadási főösszegén belül:</w:t>
      </w:r>
    </w:p>
    <w:p w:rsidR="0034670F" w:rsidRPr="0034670F" w:rsidRDefault="00926F79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működési kiadások előirányzatra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4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4.658.152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b) felhalmozási kiadások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előirányzatra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</w:t>
      </w:r>
      <w:r w:rsidR="004D226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2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0</w:t>
      </w:r>
      <w:proofErr w:type="gramEnd"/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573.563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</w:t>
      </w:r>
    </w:p>
    <w:p w:rsidR="0034670F" w:rsidRPr="0034670F" w:rsidRDefault="00926F79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c) támogatások, kölcsönök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nyújtására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                        0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d) pénzforgalom nélküli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kiadásokra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0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finanszírozási kiadásokra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1.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045.267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határoz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meg.”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4. § A </w:t>
      </w:r>
      <w:r w:rsidR="001D770C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R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endelet 5.§ helyébe a következő lép: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„5.§ (1) A 4. § a) pontjában szereplő kiadási előirányzaton belül a kiemelt előirányzatok a következők: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Működési kiadások: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személyi juttatások előirányzata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 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1.623.535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munkaadót terhelő járulékok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előirányzata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    2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390.430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c) dologi kiadások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előirányzata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</w:t>
      </w:r>
      <w:r w:rsidR="002D266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1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</w:t>
      </w:r>
      <w:proofErr w:type="gramEnd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.778</w:t>
      </w:r>
      <w:r w:rsidR="00AA011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142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d) egyéb működési </w:t>
      </w:r>
      <w:proofErr w:type="spellStart"/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c.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kiadás</w:t>
      </w:r>
      <w:proofErr w:type="spellEnd"/>
      <w:r w:rsidR="002D266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2D266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előirányzata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2D266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10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30.794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Ft, ebből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da) működési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c.kiad</w:t>
      </w:r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á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sok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államh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.belülre</w:t>
      </w:r>
      <w:proofErr w:type="spellEnd"/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9.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650.794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db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működési célú kiadások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államh.kívülre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              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80.000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dc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működési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c.kiadások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EU-nak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0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ellátottak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pénzbeni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juttatásai előirányzat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1.2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35.251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Ft,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proofErr w:type="gramStart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f</w:t>
      </w:r>
      <w:proofErr w:type="gramEnd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) működési kiadás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ok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előirányzata összesen: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ab/>
        <w:t xml:space="preserve">                                4</w:t>
      </w:r>
      <w:r w:rsidR="00044BCA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4.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658.152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Ft.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(2) A 4. § a) pontjában szereplő kiadási előirányzaton belül önkormányzat esetén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 kiemelt előirányzatokat a 3.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(3) A 4. § b) pontjában szereplő kiadási előirányzaton belül a kiemelt előirányzatok a következők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Felhalmozási kiadások: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</w:t>
      </w:r>
      <w:proofErr w:type="gramStart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a</w:t>
      </w:r>
      <w:proofErr w:type="gramEnd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) beruházási kiadások előirányzata                          </w:t>
      </w:r>
      <w:r w:rsidR="002D2663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4.073.563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b) felújítási kiadások </w:t>
      </w:r>
      <w:proofErr w:type="gramStart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előirányzata                     </w:t>
      </w:r>
      <w:r w:rsidR="00276CB7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 1</w:t>
      </w:r>
      <w:r w:rsidR="00C807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6</w:t>
      </w:r>
      <w:proofErr w:type="gramEnd"/>
      <w:r w:rsidR="00C807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.500.000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Ft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</w:t>
      </w:r>
      <w:proofErr w:type="gramStart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c )</w:t>
      </w:r>
      <w:proofErr w:type="gramEnd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egyéb felhalmozási kiadások                             </w:t>
      </w:r>
      <w:r w:rsidR="00276CB7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 </w:t>
      </w:r>
      <w:r w:rsidR="00C807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       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0 Ft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d) felhalmozási kiadások előirányzat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összesen</w:t>
      </w:r>
      <w:proofErr w:type="gramStart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:                   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      </w:t>
      </w:r>
      <w:r w:rsidR="00276CB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0</w:t>
      </w:r>
      <w:proofErr w:type="gramEnd"/>
      <w:r w:rsidR="00C807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573.563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Ft 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</w:t>
      </w:r>
    </w:p>
    <w:p w:rsidR="0034670F" w:rsidRPr="0034670F" w:rsidRDefault="006810B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(4) A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4. § b) pontjában szereplő kiadási előirányzaton belül önkormányzat esetén a kiemelt előirányzatokat a 4.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6810B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(5) A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4. § d) pontjában szereplő kiadási előirányzaton belül a kiemelt előirányzatok a következők: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a Képviselő-testület az évközi, előre nem tervezett kiadásokra általános tartalékot NEM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képez .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a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Képviselő-testület működési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céltartalékot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NEM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képez.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(6) A 4. § e) pontjában szereplő kiadási előirányzaton belül a kiemelt előirányzat a következő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Finanszírozási kiadások:</w:t>
      </w:r>
    </w:p>
    <w:p w:rsidR="0034670F" w:rsidRPr="0034670F" w:rsidRDefault="0034670F" w:rsidP="003467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Államháztartáson belüli </w:t>
      </w:r>
      <w:proofErr w:type="gramStart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megelőlegezés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  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1</w:t>
      </w:r>
      <w:proofErr w:type="gramEnd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.</w:t>
      </w:r>
      <w:r w:rsidR="00C807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045.267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Ft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b</w:t>
      </w:r>
      <w:proofErr w:type="gramStart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)  Finanszírozási</w:t>
      </w:r>
      <w:proofErr w:type="gramEnd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kiadások előirányzat összesen:                            </w:t>
      </w:r>
      <w:r w:rsidR="00B815B6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</w:t>
      </w:r>
      <w:r w:rsidR="00C807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1.045.267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(7) Az önkormányzat összesített kiadásaiból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a kötelező feladatok kiadásai                                                     </w:t>
      </w:r>
      <w:r w:rsidR="00276CB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C807B9" w:rsidRPr="00C807B9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6</w:t>
      </w:r>
      <w:r w:rsidR="002D2663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6.276.982</w:t>
      </w:r>
      <w:r w:rsidR="0034670F" w:rsidRPr="00276CB7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az önként vállalt feladatok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kiadásai                                               </w:t>
      </w:r>
      <w:r w:rsidR="00276CB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</w:t>
      </w:r>
      <w:r w:rsidR="0034670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0</w:t>
      </w:r>
      <w:proofErr w:type="gramEnd"/>
      <w:r w:rsidR="0034670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Ft”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5. § A </w:t>
      </w:r>
      <w:r w:rsidR="006810B4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R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endelet 6. §</w:t>
      </w:r>
      <w:proofErr w:type="spellStart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-</w:t>
      </w:r>
      <w:proofErr w:type="gramStart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a</w:t>
      </w:r>
      <w:proofErr w:type="spellEnd"/>
      <w:proofErr w:type="gramEnd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az alábbiakra változik: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„6. § Apátistvánfalva Község Önkormányzata az állami költségvetésből összesen 2</w:t>
      </w:r>
      <w:r w:rsidR="002D266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8.789.714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 állami támogatásban részesül.”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6. § E rendelet a kihirdetését követő napon lép hatályba.</w:t>
      </w: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9A15DB" w:rsidRPr="0034670F" w:rsidRDefault="009A15DB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Császár-Bartakovics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Csaba                                Dr.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Dancsecs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Zsolt</w:t>
      </w: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</w:t>
      </w:r>
      <w:r w:rsidR="00560B4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polgármester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</w:t>
      </w:r>
      <w:r w:rsidR="00560B4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560B4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jegyző</w:t>
      </w:r>
    </w:p>
    <w:p w:rsidR="009A15DB" w:rsidRPr="0034670F" w:rsidRDefault="009A15DB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A15DB" w:rsidRPr="0034670F" w:rsidRDefault="009A15DB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Kihírdetve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:</w:t>
      </w:r>
      <w:r w:rsidR="00DE797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2017.szeptember 21.-én</w:t>
      </w:r>
    </w:p>
    <w:p w:rsidR="009A15DB" w:rsidRPr="00ED5145" w:rsidRDefault="009A15DB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ED51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9A15DB" w:rsidRDefault="009A15DB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bookmarkStart w:id="0" w:name="_GoBack"/>
      <w:bookmarkEnd w:id="0"/>
    </w:p>
    <w:p w:rsidR="009A15DB" w:rsidRPr="00ED5145" w:rsidRDefault="00DE797B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</w:t>
      </w:r>
      <w:r w:rsidR="009A15DB" w:rsidRPr="00ED51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Dr. </w:t>
      </w:r>
      <w:proofErr w:type="spellStart"/>
      <w:r w:rsidR="009A15DB" w:rsidRPr="00ED51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Dancsecs</w:t>
      </w:r>
      <w:proofErr w:type="spellEnd"/>
      <w:r w:rsidR="009A15DB" w:rsidRPr="00ED51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Zsolt</w:t>
      </w:r>
    </w:p>
    <w:p w:rsidR="009A15DB" w:rsidRDefault="00DE797B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</w:t>
      </w:r>
      <w:proofErr w:type="gramStart"/>
      <w:r w:rsidR="009A15DB" w:rsidRPr="00ED51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jegyző</w:t>
      </w:r>
      <w:proofErr w:type="gramEnd"/>
    </w:p>
    <w:p w:rsidR="009A15DB" w:rsidRPr="00ED5145" w:rsidRDefault="009A15DB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EC6332" w:rsidRPr="0034670F" w:rsidRDefault="00EC6332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sectPr w:rsidR="00EC6332" w:rsidRPr="0034670F" w:rsidSect="001E2E8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787" w:rsidRDefault="00C32787" w:rsidP="001E2E89">
      <w:pPr>
        <w:spacing w:after="0" w:line="240" w:lineRule="auto"/>
      </w:pPr>
      <w:r>
        <w:separator/>
      </w:r>
    </w:p>
  </w:endnote>
  <w:endnote w:type="continuationSeparator" w:id="0">
    <w:p w:rsidR="00C32787" w:rsidRDefault="00C32787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79954"/>
      <w:docPartObj>
        <w:docPartGallery w:val="Page Numbers (Bottom of Page)"/>
        <w:docPartUnique/>
      </w:docPartObj>
    </w:sdtPr>
    <w:sdtContent>
      <w:p w:rsidR="001E2E89" w:rsidRDefault="006121DA">
        <w:pPr>
          <w:pStyle w:val="llb"/>
        </w:pPr>
        <w:r>
          <w:rPr>
            <w:noProof/>
            <w:lang w:eastAsia="zh-TW"/>
          </w:rPr>
          <w:pict>
            <v:group id="_x0000_s2049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10803;top:14982;width:659;height:288" filled="f" stroked="f">
                <v:textbox style="mso-next-textbox:#_x0000_s2050" inset="0,0,0,0">
                  <w:txbxContent>
                    <w:p w:rsidR="001E2E89" w:rsidRDefault="006121DA">
                      <w:pPr>
                        <w:jc w:val="center"/>
                      </w:pPr>
                      <w:r w:rsidRPr="006121DA">
                        <w:fldChar w:fldCharType="begin"/>
                      </w:r>
                      <w:r w:rsidR="00880386">
                        <w:instrText xml:space="preserve"> PAGE    \* MERGEFORMAT </w:instrText>
                      </w:r>
                      <w:r w:rsidRPr="006121DA">
                        <w:fldChar w:fldCharType="separate"/>
                      </w:r>
                      <w:r w:rsidR="00684477" w:rsidRPr="00684477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_x0000_s2051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787" w:rsidRDefault="00C32787" w:rsidP="001E2E89">
      <w:pPr>
        <w:spacing w:after="0" w:line="240" w:lineRule="auto"/>
      </w:pPr>
      <w:r>
        <w:separator/>
      </w:r>
    </w:p>
  </w:footnote>
  <w:footnote w:type="continuationSeparator" w:id="0">
    <w:p w:rsidR="00C32787" w:rsidRDefault="00C32787" w:rsidP="001E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9295D32"/>
    <w:multiLevelType w:val="hybridMultilevel"/>
    <w:tmpl w:val="4420E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2E89"/>
    <w:rsid w:val="000008F2"/>
    <w:rsid w:val="00014564"/>
    <w:rsid w:val="0001560B"/>
    <w:rsid w:val="00021F45"/>
    <w:rsid w:val="00044BCA"/>
    <w:rsid w:val="000A736D"/>
    <w:rsid w:val="000B5826"/>
    <w:rsid w:val="000B7F88"/>
    <w:rsid w:val="000E10BF"/>
    <w:rsid w:val="000F515D"/>
    <w:rsid w:val="0010592B"/>
    <w:rsid w:val="00185244"/>
    <w:rsid w:val="001D770C"/>
    <w:rsid w:val="001E2E89"/>
    <w:rsid w:val="002077BD"/>
    <w:rsid w:val="0023561A"/>
    <w:rsid w:val="0024693B"/>
    <w:rsid w:val="00276CB7"/>
    <w:rsid w:val="002B170E"/>
    <w:rsid w:val="002B47A9"/>
    <w:rsid w:val="002C518E"/>
    <w:rsid w:val="002D2663"/>
    <w:rsid w:val="002E3270"/>
    <w:rsid w:val="002F482B"/>
    <w:rsid w:val="00300152"/>
    <w:rsid w:val="0030615E"/>
    <w:rsid w:val="00316398"/>
    <w:rsid w:val="0034670F"/>
    <w:rsid w:val="00383006"/>
    <w:rsid w:val="0039210A"/>
    <w:rsid w:val="003D2804"/>
    <w:rsid w:val="003E217C"/>
    <w:rsid w:val="00402879"/>
    <w:rsid w:val="0041447C"/>
    <w:rsid w:val="00420B46"/>
    <w:rsid w:val="00421B6E"/>
    <w:rsid w:val="00422D5C"/>
    <w:rsid w:val="00425F5B"/>
    <w:rsid w:val="0043615F"/>
    <w:rsid w:val="004368D0"/>
    <w:rsid w:val="00444A83"/>
    <w:rsid w:val="00460C56"/>
    <w:rsid w:val="004D15B7"/>
    <w:rsid w:val="004D2267"/>
    <w:rsid w:val="00505C25"/>
    <w:rsid w:val="0052130B"/>
    <w:rsid w:val="00526E00"/>
    <w:rsid w:val="005400B4"/>
    <w:rsid w:val="0055620E"/>
    <w:rsid w:val="00560B4B"/>
    <w:rsid w:val="00571E84"/>
    <w:rsid w:val="005802D3"/>
    <w:rsid w:val="0059107C"/>
    <w:rsid w:val="006049C7"/>
    <w:rsid w:val="006121DA"/>
    <w:rsid w:val="006146FE"/>
    <w:rsid w:val="0063597E"/>
    <w:rsid w:val="006810B4"/>
    <w:rsid w:val="00682C68"/>
    <w:rsid w:val="00684477"/>
    <w:rsid w:val="006A6DB2"/>
    <w:rsid w:val="006A6DF5"/>
    <w:rsid w:val="006E3691"/>
    <w:rsid w:val="006F1782"/>
    <w:rsid w:val="00730BBD"/>
    <w:rsid w:val="00733486"/>
    <w:rsid w:val="007926F3"/>
    <w:rsid w:val="007A066F"/>
    <w:rsid w:val="007B66D6"/>
    <w:rsid w:val="007E64F0"/>
    <w:rsid w:val="007F0E41"/>
    <w:rsid w:val="008251BF"/>
    <w:rsid w:val="00872C0C"/>
    <w:rsid w:val="00880386"/>
    <w:rsid w:val="008959C2"/>
    <w:rsid w:val="008C617A"/>
    <w:rsid w:val="008D1BA8"/>
    <w:rsid w:val="008D1F59"/>
    <w:rsid w:val="008E7533"/>
    <w:rsid w:val="00926F79"/>
    <w:rsid w:val="00937729"/>
    <w:rsid w:val="0095769A"/>
    <w:rsid w:val="009674E6"/>
    <w:rsid w:val="009953B6"/>
    <w:rsid w:val="009A15DB"/>
    <w:rsid w:val="009A3689"/>
    <w:rsid w:val="009A47B2"/>
    <w:rsid w:val="009B2D2C"/>
    <w:rsid w:val="00A17C33"/>
    <w:rsid w:val="00A41331"/>
    <w:rsid w:val="00A75FC2"/>
    <w:rsid w:val="00A8436E"/>
    <w:rsid w:val="00A90C20"/>
    <w:rsid w:val="00AA0118"/>
    <w:rsid w:val="00AA5D09"/>
    <w:rsid w:val="00AD44BD"/>
    <w:rsid w:val="00B12105"/>
    <w:rsid w:val="00B13085"/>
    <w:rsid w:val="00B467EC"/>
    <w:rsid w:val="00B815B6"/>
    <w:rsid w:val="00BC2D3B"/>
    <w:rsid w:val="00BF46B8"/>
    <w:rsid w:val="00C20638"/>
    <w:rsid w:val="00C32787"/>
    <w:rsid w:val="00C3585F"/>
    <w:rsid w:val="00C5645F"/>
    <w:rsid w:val="00C73306"/>
    <w:rsid w:val="00C807B9"/>
    <w:rsid w:val="00CA3837"/>
    <w:rsid w:val="00CB0CC1"/>
    <w:rsid w:val="00CC1D69"/>
    <w:rsid w:val="00CC46FA"/>
    <w:rsid w:val="00CF057C"/>
    <w:rsid w:val="00D243C4"/>
    <w:rsid w:val="00D43538"/>
    <w:rsid w:val="00D547F8"/>
    <w:rsid w:val="00DA49FC"/>
    <w:rsid w:val="00DB1111"/>
    <w:rsid w:val="00DB24A8"/>
    <w:rsid w:val="00DD617B"/>
    <w:rsid w:val="00DE18DA"/>
    <w:rsid w:val="00DE797B"/>
    <w:rsid w:val="00E145AC"/>
    <w:rsid w:val="00E17EF2"/>
    <w:rsid w:val="00EB69D4"/>
    <w:rsid w:val="00EC16DB"/>
    <w:rsid w:val="00EC6332"/>
    <w:rsid w:val="00ED4253"/>
    <w:rsid w:val="00ED5145"/>
    <w:rsid w:val="00ED7184"/>
    <w:rsid w:val="00F15ABB"/>
    <w:rsid w:val="00F24823"/>
    <w:rsid w:val="00F57ACB"/>
    <w:rsid w:val="00F7432C"/>
    <w:rsid w:val="00F76B33"/>
    <w:rsid w:val="00F95A33"/>
    <w:rsid w:val="00FA3098"/>
    <w:rsid w:val="00FE0775"/>
    <w:rsid w:val="00FF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46B8"/>
  </w:style>
  <w:style w:type="paragraph" w:styleId="Cmsor1">
    <w:name w:val="heading 1"/>
    <w:basedOn w:val="Norml"/>
    <w:next w:val="Norml"/>
    <w:link w:val="Cmsor1Char"/>
    <w:uiPriority w:val="9"/>
    <w:qFormat/>
    <w:rsid w:val="001E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2E89"/>
  </w:style>
  <w:style w:type="paragraph" w:styleId="llb">
    <w:name w:val="footer"/>
    <w:basedOn w:val="Norml"/>
    <w:link w:val="llb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E89"/>
  </w:style>
  <w:style w:type="paragraph" w:styleId="Listaszerbekezds">
    <w:name w:val="List Paragraph"/>
    <w:basedOn w:val="Norml"/>
    <w:uiPriority w:val="99"/>
    <w:qFormat/>
    <w:rsid w:val="008C617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3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5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3133-A159-4F17-93E9-C2CF7C6A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1010</Words>
  <Characters>6969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Birone</cp:lastModifiedBy>
  <cp:revision>51</cp:revision>
  <cp:lastPrinted>2017-09-15T07:35:00Z</cp:lastPrinted>
  <dcterms:created xsi:type="dcterms:W3CDTF">2016-09-23T09:19:00Z</dcterms:created>
  <dcterms:modified xsi:type="dcterms:W3CDTF">2017-09-18T12:31:00Z</dcterms:modified>
</cp:coreProperties>
</file>