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19" w:rsidRDefault="0023736E">
      <w:pPr>
        <w:pStyle w:val="Alcm"/>
      </w:pPr>
      <w:bookmarkStart w:id="0" w:name="bookmark=id.2grqrue" w:colFirst="0" w:colLast="0"/>
      <w:bookmarkEnd w:id="0"/>
      <w:r>
        <w:t xml:space="preserve">1. melléklet a </w:t>
      </w:r>
      <w:r w:rsidR="00E50F62">
        <w:t>1</w:t>
      </w:r>
      <w:r w:rsidR="005C5AAF">
        <w:t>2</w:t>
      </w:r>
      <w:r>
        <w:t>/2019. (</w:t>
      </w:r>
      <w:r w:rsidR="00E50F62">
        <w:t>XI.28</w:t>
      </w:r>
      <w:r>
        <w:t>.) önkormányzati rendelethez</w:t>
      </w:r>
    </w:p>
    <w:p w:rsidR="00164919" w:rsidRDefault="00164919">
      <w:pPr>
        <w:spacing w:after="0"/>
        <w:ind w:firstLine="0"/>
        <w:jc w:val="center"/>
        <w:rPr>
          <w:b/>
        </w:rPr>
      </w:pPr>
    </w:p>
    <w:p w:rsidR="00164919" w:rsidRDefault="0023736E">
      <w:pPr>
        <w:spacing w:after="0"/>
        <w:ind w:firstLine="0"/>
        <w:jc w:val="center"/>
        <w:rPr>
          <w:b/>
        </w:rPr>
      </w:pPr>
      <w:r>
        <w:rPr>
          <w:b/>
        </w:rPr>
        <w:t>Az önkormányzat alaptevékenységeinek kormányzati funkció szerinti besorolása</w:t>
      </w:r>
    </w:p>
    <w:p w:rsidR="00164919" w:rsidRDefault="00164919">
      <w:pPr>
        <w:spacing w:after="0"/>
        <w:ind w:firstLine="0"/>
        <w:jc w:val="center"/>
      </w:pPr>
    </w:p>
    <w:tbl>
      <w:tblPr>
        <w:tblStyle w:val="a3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080"/>
        <w:gridCol w:w="8408"/>
      </w:tblGrid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011130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Önkormányzatok és önkormányzati hivatalok jogalkotó és általános igazgatási tevékenysége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011220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Adó-, vám- és jövedéki igazgatás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013350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Az önkormányzati vagyonnal való gazdálkodással kapcsolatos feladatok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031030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Közterület rendjének fenntartása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044310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Építésügy igazgatása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045110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Közúti közlekedés igazgatása és támogatása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045180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Közutak, hidak, alagutak üzemeltetése, fenntartása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041231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Rövid időtartamú közfoglalkoztatás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041232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Start-munka program – Téli közfoglalkoztatás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045120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Út, autópálya építése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045170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Parkoló, garázs üzemeltetése, fenntartása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047210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Szálloda és vendéglátóipar igazgatása és támogatása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047320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Turizmusfejlesztési támogatások és tevékenységek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061030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Lakáshozjutást segítő támogatások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061020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Lakóépület építés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062020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Településfejlesztés projektek és támogatások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064010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Közvilágítás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066010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Zöldterület-kezelés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066020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Város-, községgazdálkodási egyéb szolgáltatások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062030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Művészeti tevékenységek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062070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Történelmi emlékhely, építmény, egyéb látványosság működtetése és megóvása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lastRenderedPageBreak/>
              <w:t>084040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Egyházak közösségi és hitéleti tevékenységének támogatása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082091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Közművelődés- közösségi és társadalmi részvétel fejlesztése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084010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Társadalmi tevékenységekkel, esélyegyenlőséggel, érdekképviselettel, nemzetiségekkel, egyházakkal összefüggő feladatok igazgatása és szabályozása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101150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Betegséggel kapcsolatos pénzbeli ellátások, támogatások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104012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Gyermekek átmeneti ellátása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104051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Gyermekvédelmi pénzbeli és természetbeni ellátások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104052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Családtámogatások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105010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firstLine="0"/>
            </w:pPr>
            <w:r>
              <w:t>Munkanélküli aktív korúak ellátásai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106020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Lakásfenntartással, lakhatással összefüggő ellátások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107060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Egyéb szociális pénzbeli ellátások, támogatások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104030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Gyermekek napközbeni ellátása</w:t>
            </w:r>
          </w:p>
        </w:tc>
      </w:tr>
      <w:tr w:rsidR="00164919">
        <w:tc>
          <w:tcPr>
            <w:tcW w:w="108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106010</w:t>
            </w:r>
          </w:p>
        </w:tc>
        <w:tc>
          <w:tcPr>
            <w:tcW w:w="840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4919" w:rsidRDefault="0023736E">
            <w:pPr>
              <w:spacing w:after="0"/>
              <w:ind w:left="60" w:firstLine="0"/>
            </w:pPr>
            <w:r>
              <w:t>Lakóingatlan szociális célú bérbeadása, üzemeltetése</w:t>
            </w:r>
          </w:p>
        </w:tc>
      </w:tr>
    </w:tbl>
    <w:p w:rsidR="00164919" w:rsidRDefault="0023736E">
      <w:pPr>
        <w:spacing w:after="0"/>
        <w:ind w:firstLine="0"/>
      </w:pPr>
      <w:r>
        <w:t xml:space="preserve"> </w:t>
      </w:r>
    </w:p>
    <w:p w:rsidR="00164919" w:rsidRDefault="0023736E">
      <w:pPr>
        <w:spacing w:after="0"/>
        <w:ind w:left="1420" w:firstLine="700"/>
        <w:rPr>
          <w:b/>
        </w:rPr>
      </w:pPr>
      <w:r>
        <w:rPr>
          <w:b/>
        </w:rPr>
        <w:t xml:space="preserve"> </w:t>
      </w:r>
    </w:p>
    <w:p w:rsidR="00164919" w:rsidRDefault="0023736E">
      <w:pPr>
        <w:spacing w:line="240" w:lineRule="auto"/>
        <w:rPr>
          <w:b/>
        </w:rPr>
      </w:pPr>
      <w:r>
        <w:br w:type="page"/>
      </w:r>
    </w:p>
    <w:p w:rsidR="00164919" w:rsidRDefault="00164919">
      <w:pPr>
        <w:spacing w:after="0"/>
        <w:ind w:hanging="2"/>
        <w:jc w:val="center"/>
        <w:rPr>
          <w:b/>
        </w:rPr>
      </w:pPr>
    </w:p>
    <w:p w:rsidR="00164919" w:rsidRDefault="0023736E">
      <w:pPr>
        <w:spacing w:after="0"/>
        <w:ind w:hanging="2"/>
        <w:jc w:val="center"/>
        <w:rPr>
          <w:b/>
        </w:rPr>
      </w:pPr>
      <w:r>
        <w:rPr>
          <w:b/>
        </w:rPr>
        <w:t>Az Önkormányzat önként vállalt feladatai</w:t>
      </w:r>
    </w:p>
    <w:p w:rsidR="00164919" w:rsidRDefault="00164919">
      <w:pPr>
        <w:spacing w:after="0"/>
        <w:ind w:hanging="2"/>
        <w:jc w:val="center"/>
        <w:rPr>
          <w:b/>
        </w:rPr>
      </w:pPr>
    </w:p>
    <w:tbl>
      <w:tblPr>
        <w:tblStyle w:val="a4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410"/>
        <w:gridCol w:w="4470"/>
      </w:tblGrid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Feladat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A feladat ellátására kijelölt intézmény: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Járóbeteg szakellátás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Járóbeteg gondozás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Foglalkozás-egészségügyi alapellátás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Egészségügyi laboratóriumi szolgáltatás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Képalkotó diagnosztika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Fizikoterápiás szolgáltatások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Egynapos sebészet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Egészségügyi 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Adósságkezelési szolgáltatás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Szociális és Gyermekjóléti Szolgáltatási Központ/Polgármesteri Hivatal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Jelzőrendszeres házi segítségnyújtás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Szociális és Gyermekjóléti szolgáltatási Központ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Szenvedélybetegek közösségi ellátása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ellátási szerződés alapján a Magyar Máltai Szeretetszolgálat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Pszichiátriai betegek közösségi ellátása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Szociális és Gyermekjóléti szolgáltatási Központ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Utcai szociális munka, hajléktalanok nappali ellátása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Ellátási szerződés alapján a Magyar Máltai Szeretetszolgálat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Zamárdi üdülő fenntartása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szerződés alapján</w:t>
            </w:r>
          </w:p>
        </w:tc>
      </w:tr>
      <w:tr w:rsidR="00164919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A Várkert Bazárhoz tartozó mélygarázs, északi pavilon épület „Lépcsőpavilon”, lépcsőház, L1 jelű lift, nyilvános illemhelyek és L2 jelű lift; mozgólépcső, vízhordó folyosó és szerviz lépcső, déli kortinafalnál lévő L3 és L4 jelű liftek, és a kortina falak közötti legfelső várfalon lévő gyalogos sétány üzemeltetési és hasznosítási feladatai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919" w:rsidRDefault="0023736E">
            <w:pPr>
              <w:spacing w:after="0"/>
              <w:ind w:firstLine="0"/>
            </w:pPr>
            <w:r>
              <w:t>Budavári Kapu Kft.</w:t>
            </w:r>
          </w:p>
        </w:tc>
      </w:tr>
    </w:tbl>
    <w:p w:rsidR="00164919" w:rsidRDefault="00164919" w:rsidP="001A0952">
      <w:pPr>
        <w:spacing w:line="240" w:lineRule="auto"/>
        <w:ind w:firstLine="0"/>
      </w:pPr>
    </w:p>
    <w:sectPr w:rsidR="00164919" w:rsidSect="003912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0B" w:rsidRDefault="0050660B">
      <w:pPr>
        <w:spacing w:after="0" w:line="240" w:lineRule="auto"/>
      </w:pPr>
      <w:r>
        <w:separator/>
      </w:r>
    </w:p>
  </w:endnote>
  <w:endnote w:type="continuationSeparator" w:id="1">
    <w:p w:rsidR="0050660B" w:rsidRDefault="0050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i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0B" w:rsidRDefault="0050660B">
      <w:pPr>
        <w:spacing w:after="0" w:line="240" w:lineRule="auto"/>
      </w:pPr>
      <w:r>
        <w:separator/>
      </w:r>
    </w:p>
  </w:footnote>
  <w:footnote w:type="continuationSeparator" w:id="1">
    <w:p w:rsidR="0050660B" w:rsidRDefault="0050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ind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3B3"/>
    <w:multiLevelType w:val="multilevel"/>
    <w:tmpl w:val="186438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7C14F38"/>
    <w:multiLevelType w:val="multilevel"/>
    <w:tmpl w:val="A85C5E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46E5D"/>
    <w:multiLevelType w:val="multilevel"/>
    <w:tmpl w:val="7ECCB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52A79"/>
    <w:multiLevelType w:val="multilevel"/>
    <w:tmpl w:val="25744E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BA53DFC"/>
    <w:multiLevelType w:val="multilevel"/>
    <w:tmpl w:val="71C62A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hu-HU" w:vendorID="64" w:dllVersion="0" w:nlCheck="1" w:checkStyle="0"/>
  <w:stylePaneFormatFilter w:val="102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919"/>
    <w:rsid w:val="000B22BC"/>
    <w:rsid w:val="000D4BC5"/>
    <w:rsid w:val="00106232"/>
    <w:rsid w:val="00155894"/>
    <w:rsid w:val="00164919"/>
    <w:rsid w:val="00166A45"/>
    <w:rsid w:val="001937AA"/>
    <w:rsid w:val="001A0952"/>
    <w:rsid w:val="0023736E"/>
    <w:rsid w:val="002B73F7"/>
    <w:rsid w:val="003912D5"/>
    <w:rsid w:val="0043059B"/>
    <w:rsid w:val="0050660B"/>
    <w:rsid w:val="0054275A"/>
    <w:rsid w:val="005A2ABF"/>
    <w:rsid w:val="005C5AAF"/>
    <w:rsid w:val="00660189"/>
    <w:rsid w:val="0066268B"/>
    <w:rsid w:val="006806A7"/>
    <w:rsid w:val="006E35AC"/>
    <w:rsid w:val="007E2F44"/>
    <w:rsid w:val="007F1F36"/>
    <w:rsid w:val="00820599"/>
    <w:rsid w:val="00916F27"/>
    <w:rsid w:val="009D5C08"/>
    <w:rsid w:val="00A42477"/>
    <w:rsid w:val="00AB17C3"/>
    <w:rsid w:val="00B31332"/>
    <w:rsid w:val="00BF2EAF"/>
    <w:rsid w:val="00C35B47"/>
    <w:rsid w:val="00C50B72"/>
    <w:rsid w:val="00E35718"/>
    <w:rsid w:val="00E50F62"/>
    <w:rsid w:val="00F52B80"/>
    <w:rsid w:val="00F7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>
      <w:pPr>
        <w:spacing w:after="80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806A7"/>
    <w:pPr>
      <w:spacing w:line="280" w:lineRule="atLeast"/>
    </w:pPr>
    <w:rPr>
      <w:noProof/>
      <w:lang w:val="hu-HU"/>
    </w:rPr>
  </w:style>
  <w:style w:type="paragraph" w:styleId="Cmsor1">
    <w:name w:val="heading 1"/>
    <w:basedOn w:val="Norml"/>
    <w:next w:val="Norml"/>
    <w:rsid w:val="00166A45"/>
    <w:pPr>
      <w:keepNext/>
      <w:keepLines/>
      <w:spacing w:before="720" w:after="480"/>
      <w:jc w:val="center"/>
      <w:outlineLvl w:val="0"/>
    </w:pPr>
    <w:rPr>
      <w:b/>
    </w:rPr>
  </w:style>
  <w:style w:type="paragraph" w:styleId="Cmsor2">
    <w:name w:val="heading 2"/>
    <w:basedOn w:val="Norml"/>
    <w:next w:val="Norml"/>
    <w:rsid w:val="00166A45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166A45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166A45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rsid w:val="00166A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166A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386BF6"/>
    <w:pPr>
      <w:keepNext/>
      <w:keepLines/>
      <w:spacing w:before="600" w:after="240"/>
      <w:jc w:val="center"/>
    </w:pPr>
    <w:rPr>
      <w:b/>
      <w:szCs w:val="72"/>
    </w:rPr>
  </w:style>
  <w:style w:type="table" w:customStyle="1" w:styleId="TableNormal0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rsid w:val="00166A45"/>
    <w:pPr>
      <w:keepNext/>
      <w:keepLines/>
      <w:spacing w:before="720" w:after="360"/>
      <w:jc w:val="center"/>
    </w:pPr>
    <w:rPr>
      <w:b/>
    </w:rPr>
  </w:style>
  <w:style w:type="table" w:customStyle="1" w:styleId="a">
    <w:basedOn w:val="TableNormal0"/>
    <w:rsid w:val="00166A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166A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6A45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166A4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43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43A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915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915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E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2CA0"/>
  </w:style>
  <w:style w:type="character" w:styleId="Hiperhivatkozs">
    <w:name w:val="Hyperlink"/>
    <w:basedOn w:val="Bekezdsalapbettpusa"/>
    <w:uiPriority w:val="99"/>
    <w:unhideWhenUsed/>
    <w:rsid w:val="00404F02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21F8"/>
    <w:rPr>
      <w:color w:val="800080" w:themeColor="followedHyperlink"/>
      <w:u w:val="single"/>
    </w:rPr>
  </w:style>
  <w:style w:type="table" w:customStyle="1" w:styleId="a2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aszerbekezds">
    <w:name w:val="List Paragraph"/>
    <w:basedOn w:val="Norml"/>
    <w:uiPriority w:val="34"/>
    <w:qFormat/>
    <w:rsid w:val="00F52B80"/>
    <w:pPr>
      <w:spacing w:after="0" w:line="240" w:lineRule="auto"/>
      <w:ind w:left="720" w:hanging="357"/>
      <w:contextualSpacing/>
    </w:pPr>
    <w:rPr>
      <w:rFonts w:ascii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9pj1UUYePimprJKiH62iOUnkQ==">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Vetítés</dc:creator>
  <cp:lastModifiedBy>Noémi</cp:lastModifiedBy>
  <cp:revision>5</cp:revision>
  <cp:lastPrinted>2019-11-29T17:12:00Z</cp:lastPrinted>
  <dcterms:created xsi:type="dcterms:W3CDTF">2019-12-09T23:10:00Z</dcterms:created>
  <dcterms:modified xsi:type="dcterms:W3CDTF">2019-12-09T23:21:00Z</dcterms:modified>
</cp:coreProperties>
</file>