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BF" w:rsidRDefault="003B66BF" w:rsidP="003B66BF">
      <w:pPr>
        <w:tabs>
          <w:tab w:val="center" w:pos="6096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INDOKOLÁS</w:t>
      </w:r>
    </w:p>
    <w:p w:rsidR="003B66BF" w:rsidRDefault="003B66BF" w:rsidP="003B66BF">
      <w:pPr>
        <w:tabs>
          <w:tab w:val="center" w:pos="6096"/>
        </w:tabs>
        <w:jc w:val="center"/>
        <w:rPr>
          <w:b/>
          <w:bCs/>
          <w:i/>
          <w:iCs/>
        </w:rPr>
      </w:pPr>
    </w:p>
    <w:p w:rsidR="003B66BF" w:rsidRDefault="003B66BF" w:rsidP="003B66BF">
      <w:pPr>
        <w:tabs>
          <w:tab w:val="center" w:pos="6096"/>
        </w:tabs>
        <w:jc w:val="center"/>
        <w:rPr>
          <w:b/>
          <w:bCs/>
          <w:i/>
          <w:iCs/>
        </w:rPr>
      </w:pPr>
    </w:p>
    <w:p w:rsidR="003B66BF" w:rsidRDefault="003B66BF" w:rsidP="003B66BF">
      <w:pPr>
        <w:tabs>
          <w:tab w:val="center" w:pos="6096"/>
        </w:tabs>
        <w:jc w:val="center"/>
        <w:rPr>
          <w:b/>
          <w:bCs/>
          <w:color w:val="FF0000"/>
        </w:rPr>
      </w:pPr>
    </w:p>
    <w:p w:rsidR="003B66BF" w:rsidRPr="006F687C" w:rsidRDefault="003B66BF" w:rsidP="003B66BF">
      <w:pPr>
        <w:tabs>
          <w:tab w:val="center" w:pos="6096"/>
        </w:tabs>
        <w:jc w:val="center"/>
        <w:rPr>
          <w:b/>
          <w:bCs/>
        </w:rPr>
      </w:pPr>
      <w:r w:rsidRPr="006F687C">
        <w:rPr>
          <w:b/>
          <w:bCs/>
        </w:rPr>
        <w:t>1. §</w:t>
      </w:r>
    </w:p>
    <w:p w:rsidR="003B66BF" w:rsidRDefault="003B66BF" w:rsidP="003B66BF">
      <w:pPr>
        <w:tabs>
          <w:tab w:val="center" w:pos="6096"/>
        </w:tabs>
        <w:jc w:val="center"/>
        <w:rPr>
          <w:b/>
          <w:bCs/>
        </w:rPr>
      </w:pPr>
    </w:p>
    <w:p w:rsidR="003B66BF" w:rsidRPr="006F687C" w:rsidRDefault="003B66BF" w:rsidP="003B66BF">
      <w:pPr>
        <w:tabs>
          <w:tab w:val="center" w:pos="6096"/>
        </w:tabs>
        <w:jc w:val="both"/>
      </w:pPr>
      <w:r>
        <w:t>A környezetvédelemről szóló rendelet bevezető részében a felhatalmazó és hatáskört megállapító jogszabályok körének és rendelkezéseinek a változásai átvezetésre kerülnek.</w:t>
      </w:r>
    </w:p>
    <w:p w:rsidR="003B66BF" w:rsidRPr="006F687C" w:rsidRDefault="003B66BF" w:rsidP="003B66BF">
      <w:pPr>
        <w:tabs>
          <w:tab w:val="center" w:pos="6096"/>
        </w:tabs>
        <w:jc w:val="center"/>
        <w:rPr>
          <w:b/>
          <w:bCs/>
        </w:rPr>
      </w:pPr>
    </w:p>
    <w:p w:rsidR="003B66BF" w:rsidRDefault="003B66BF" w:rsidP="003B66BF">
      <w:pPr>
        <w:tabs>
          <w:tab w:val="center" w:pos="6096"/>
        </w:tabs>
        <w:jc w:val="center"/>
        <w:rPr>
          <w:b/>
          <w:bCs/>
        </w:rPr>
      </w:pPr>
      <w:r w:rsidRPr="006F687C">
        <w:rPr>
          <w:b/>
          <w:bCs/>
        </w:rPr>
        <w:t>2. §</w:t>
      </w:r>
      <w:r>
        <w:rPr>
          <w:b/>
          <w:bCs/>
        </w:rPr>
        <w:t>-</w:t>
      </w:r>
      <w:r w:rsidRPr="006F687C">
        <w:rPr>
          <w:b/>
          <w:bCs/>
        </w:rPr>
        <w:t>3. §</w:t>
      </w:r>
    </w:p>
    <w:p w:rsidR="003B66BF" w:rsidRPr="006F687C" w:rsidRDefault="003B66BF" w:rsidP="003B66BF">
      <w:pPr>
        <w:tabs>
          <w:tab w:val="center" w:pos="6096"/>
        </w:tabs>
        <w:jc w:val="center"/>
        <w:rPr>
          <w:b/>
          <w:bCs/>
        </w:rPr>
      </w:pPr>
    </w:p>
    <w:p w:rsidR="003B66BF" w:rsidRPr="00EE7B1A" w:rsidRDefault="003B66BF" w:rsidP="003B66BF">
      <w:pPr>
        <w:spacing w:line="300" w:lineRule="exact"/>
        <w:jc w:val="both"/>
      </w:pPr>
      <w:r w:rsidRPr="00EE7B1A">
        <w:t xml:space="preserve">A jelentős zajt keltő munkák </w:t>
      </w:r>
      <w:r>
        <w:t xml:space="preserve">környezetvédelemről szóló rendeletben </w:t>
      </w:r>
      <w:r w:rsidRPr="00EE7B1A">
        <w:t xml:space="preserve">és </w:t>
      </w:r>
      <w:r>
        <w:t>a közösségi együttélés alapvető szabályairól, valamint ezek elmulasztása, megszegése jogkövetkezményeiről szóló</w:t>
      </w:r>
      <w:r w:rsidRPr="00EE7B1A">
        <w:t xml:space="preserve"> </w:t>
      </w:r>
      <w:r>
        <w:t xml:space="preserve">rendeletben </w:t>
      </w:r>
      <w:r w:rsidRPr="00EE7B1A">
        <w:t>foglalt szabályozása összehangolásra</w:t>
      </w:r>
      <w:r>
        <w:t>,</w:t>
      </w:r>
      <w:r w:rsidRPr="00EE7B1A">
        <w:t xml:space="preserve"> egyben pontosításra kerül. A családok nyugodt pihenését és kikapcsolódását elősegítendő a jövőben </w:t>
      </w:r>
      <w:r>
        <w:t xml:space="preserve">minden </w:t>
      </w:r>
      <w:r w:rsidRPr="00EE7B1A">
        <w:t xml:space="preserve">vasárnap, újév napján, </w:t>
      </w:r>
      <w:r>
        <w:t xml:space="preserve">nagypénteken, </w:t>
      </w:r>
      <w:r w:rsidRPr="00EE7B1A">
        <w:t xml:space="preserve">húsvéthétfőn, </w:t>
      </w:r>
      <w:r>
        <w:t xml:space="preserve">pünkösdhétfőn, </w:t>
      </w:r>
      <w:r w:rsidRPr="00EE7B1A">
        <w:t xml:space="preserve">mindenszentek napján és karácsonykor is tilos lesz a jelentős zajjal járó munkák végzése. A nyári időszakban ugyanakkor a kései napnyugtára tekintettel este 21 óráig végezhetőek majd ilyen tevékenységek az eddigi 20 óra helyett. A kialakult szokásokra tekintettel </w:t>
      </w:r>
      <w:r>
        <w:t xml:space="preserve">egyes </w:t>
      </w:r>
      <w:r w:rsidRPr="00EE7B1A">
        <w:t xml:space="preserve">a családi eseményekhez nem kötődő ünnepnapokon is lehetséges lesz a zajjal járó munkavégzés a ház körül, illetve a kiskertben. </w:t>
      </w:r>
    </w:p>
    <w:p w:rsidR="003B66BF" w:rsidRDefault="003B66BF" w:rsidP="003B66BF">
      <w:pPr>
        <w:tabs>
          <w:tab w:val="center" w:pos="6096"/>
        </w:tabs>
        <w:jc w:val="both"/>
        <w:rPr>
          <w:b/>
          <w:bCs/>
        </w:rPr>
      </w:pPr>
    </w:p>
    <w:p w:rsidR="003B66BF" w:rsidRPr="006F687C" w:rsidRDefault="003B66BF" w:rsidP="003B66BF">
      <w:pPr>
        <w:tabs>
          <w:tab w:val="center" w:pos="6096"/>
        </w:tabs>
        <w:jc w:val="center"/>
        <w:rPr>
          <w:b/>
          <w:bCs/>
        </w:rPr>
      </w:pPr>
      <w:r>
        <w:rPr>
          <w:b/>
          <w:bCs/>
        </w:rPr>
        <w:t>4</w:t>
      </w:r>
      <w:r w:rsidRPr="006F687C">
        <w:rPr>
          <w:b/>
          <w:bCs/>
        </w:rPr>
        <w:t>. §</w:t>
      </w:r>
    </w:p>
    <w:p w:rsidR="003B66BF" w:rsidRPr="006F687C" w:rsidRDefault="003B66BF" w:rsidP="003B66BF">
      <w:pPr>
        <w:tabs>
          <w:tab w:val="center" w:pos="6096"/>
        </w:tabs>
        <w:jc w:val="both"/>
        <w:rPr>
          <w:b/>
          <w:bCs/>
        </w:rPr>
      </w:pPr>
    </w:p>
    <w:p w:rsidR="003B66BF" w:rsidRPr="00EE7B1A" w:rsidRDefault="003B66BF" w:rsidP="003B66BF">
      <w:pPr>
        <w:spacing w:line="300" w:lineRule="exact"/>
        <w:jc w:val="both"/>
      </w:pPr>
      <w:r>
        <w:t>H</w:t>
      </w:r>
      <w:r w:rsidRPr="00EE7B1A">
        <w:t>atályon kívül helyezésre kerül a közösségi együttélés alapvető szabályairól szóló rendelet 9. §-</w:t>
      </w:r>
      <w:proofErr w:type="spellStart"/>
      <w:r>
        <w:t>ának</w:t>
      </w:r>
      <w:proofErr w:type="spellEnd"/>
      <w:r>
        <w:t xml:space="preserve"> </w:t>
      </w:r>
      <w:r w:rsidRPr="00EE7B1A">
        <w:t>a nem szilárd burkolattal ellátott közterületen</w:t>
      </w:r>
      <w:r>
        <w:t xml:space="preserve"> való</w:t>
      </w:r>
      <w:r w:rsidRPr="00EE7B1A">
        <w:t xml:space="preserve"> parkol</w:t>
      </w:r>
      <w:r>
        <w:t xml:space="preserve">ási tilalmat előíró rendelkezése, mivel az a szabálysértésekről szóló törvénnyel és a KRESZ-szel párhuzamos szabályozást tartalmaz a Kúria gyakorlatát figyelembe véve. </w:t>
      </w:r>
      <w:r w:rsidRPr="00EE7B1A">
        <w:t xml:space="preserve"> </w:t>
      </w:r>
    </w:p>
    <w:p w:rsidR="003B66BF" w:rsidRPr="004D2765" w:rsidRDefault="003B66BF" w:rsidP="003B66BF">
      <w:pPr>
        <w:tabs>
          <w:tab w:val="center" w:pos="6096"/>
        </w:tabs>
        <w:jc w:val="both"/>
        <w:rPr>
          <w:color w:val="FF0000"/>
        </w:rPr>
      </w:pPr>
    </w:p>
    <w:p w:rsidR="003B66BF" w:rsidRPr="006F687C" w:rsidRDefault="003B66BF" w:rsidP="003B66BF">
      <w:pPr>
        <w:tabs>
          <w:tab w:val="center" w:pos="6096"/>
        </w:tabs>
        <w:jc w:val="center"/>
        <w:rPr>
          <w:b/>
          <w:bCs/>
        </w:rPr>
      </w:pPr>
      <w:r>
        <w:rPr>
          <w:b/>
          <w:bCs/>
        </w:rPr>
        <w:t>5</w:t>
      </w:r>
      <w:r w:rsidRPr="006F687C">
        <w:rPr>
          <w:b/>
          <w:bCs/>
        </w:rPr>
        <w:t xml:space="preserve">. § </w:t>
      </w:r>
    </w:p>
    <w:p w:rsidR="003B66BF" w:rsidRPr="006F687C" w:rsidRDefault="003B66BF" w:rsidP="003B66BF">
      <w:pPr>
        <w:tabs>
          <w:tab w:val="center" w:pos="6096"/>
        </w:tabs>
        <w:jc w:val="both"/>
        <w:rPr>
          <w:b/>
          <w:bCs/>
        </w:rPr>
      </w:pPr>
    </w:p>
    <w:p w:rsidR="003B66BF" w:rsidRDefault="003B66BF" w:rsidP="003B66BF">
      <w:pPr>
        <w:jc w:val="both"/>
      </w:pPr>
      <w:r w:rsidRPr="006F687C">
        <w:t>Hatályba léptető és deregulációs rendelkezést tartalmaz.</w:t>
      </w:r>
    </w:p>
    <w:p w:rsidR="003B66BF" w:rsidRPr="006F687C" w:rsidRDefault="003B66BF" w:rsidP="003B66BF">
      <w:pPr>
        <w:jc w:val="both"/>
      </w:pPr>
    </w:p>
    <w:p w:rsidR="003B66BF" w:rsidRPr="00EE7B1A" w:rsidRDefault="003B66BF" w:rsidP="003B66BF">
      <w:pPr>
        <w:spacing w:line="300" w:lineRule="exact"/>
        <w:jc w:val="both"/>
        <w:rPr>
          <w:color w:val="99CC00"/>
        </w:rPr>
      </w:pPr>
      <w:r w:rsidRPr="00EE7B1A">
        <w:rPr>
          <w:b/>
          <w:bCs/>
        </w:rPr>
        <w:t xml:space="preserve">A </w:t>
      </w:r>
      <w:r>
        <w:rPr>
          <w:b/>
          <w:bCs/>
        </w:rPr>
        <w:t>jogalkotásról szóló 2010. évi CXXX. törvény 18. § (3) bekezdése és a</w:t>
      </w:r>
      <w:r w:rsidRPr="00EE7B1A">
        <w:rPr>
          <w:b/>
          <w:bCs/>
        </w:rPr>
        <w:t xml:space="preserve"> Magyar Közlöny kiadásáról, valamint a jogszabály kihirdetése során történő és a közjogi szervezetszabályozó eszköz közzététele során történő megjelöléséről szóló 5/2019. (III. 13.) IM rendelet 20. § (3)-(4) bekezdése</w:t>
      </w:r>
      <w:r>
        <w:rPr>
          <w:b/>
          <w:bCs/>
        </w:rPr>
        <w:t>,</w:t>
      </w:r>
      <w:r w:rsidRPr="00EE7B1A">
        <w:rPr>
          <w:b/>
          <w:bCs/>
        </w:rPr>
        <w:t xml:space="preserve"> valamint a 21. § (2) bekezdése alapján, mivel az elfogadandó jogszabály várható társadalmi hatása jelentős, és nem kizárólag technikai vagy végrehajtási jellegű intézkedéseket tartalmaz, jelen indokolást a rendelet kihirdetését követően a Nemzeti Jogszabálytárban közzé kell tenni. </w:t>
      </w: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BF"/>
    <w:rsid w:val="003B66BF"/>
    <w:rsid w:val="006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C58B0-CB4E-4F7A-9EFF-24034C4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6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1730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2020-12-18T11:04:00Z</dcterms:created>
  <dcterms:modified xsi:type="dcterms:W3CDTF">2020-12-18T11:05:00Z</dcterms:modified>
</cp:coreProperties>
</file>