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F5" w:rsidRDefault="00D926F5" w:rsidP="00D926F5">
      <w:pPr>
        <w:numPr>
          <w:ilvl w:val="0"/>
          <w:numId w:val="1"/>
        </w:numPr>
        <w:jc w:val="right"/>
        <w:rPr>
          <w:sz w:val="24"/>
        </w:rPr>
      </w:pPr>
      <w:r>
        <w:rPr>
          <w:sz w:val="24"/>
        </w:rPr>
        <w:t>sz. melléklet</w:t>
      </w:r>
    </w:p>
    <w:p w:rsidR="00D926F5" w:rsidRDefault="00D926F5" w:rsidP="00D926F5">
      <w:pPr>
        <w:pStyle w:val="Cmsor2"/>
        <w:rPr>
          <w:sz w:val="24"/>
        </w:rPr>
      </w:pPr>
    </w:p>
    <w:p w:rsidR="00D926F5" w:rsidRDefault="00D926F5" w:rsidP="00D926F5">
      <w:pPr>
        <w:pStyle w:val="Cmsor2"/>
        <w:rPr>
          <w:sz w:val="24"/>
        </w:rPr>
      </w:pPr>
    </w:p>
    <w:p w:rsidR="00D926F5" w:rsidRDefault="00D926F5" w:rsidP="00D926F5">
      <w:pPr>
        <w:pStyle w:val="Cmsor2"/>
        <w:rPr>
          <w:sz w:val="24"/>
        </w:rPr>
      </w:pPr>
      <w:bookmarkStart w:id="0" w:name="_GoBack"/>
      <w:bookmarkEnd w:id="0"/>
      <w:r>
        <w:rPr>
          <w:sz w:val="24"/>
        </w:rPr>
        <w:t>KÖZTERÜLET-HASZNÁLATI</w:t>
      </w:r>
      <w:r>
        <w:rPr>
          <w:sz w:val="24"/>
        </w:rPr>
        <w:t xml:space="preserve"> DÍJAK</w:t>
      </w:r>
    </w:p>
    <w:p w:rsidR="00D926F5" w:rsidRDefault="00D926F5" w:rsidP="00D926F5"/>
    <w:p w:rsidR="00D926F5" w:rsidRDefault="00D926F5" w:rsidP="00D926F5">
      <w:pPr>
        <w:jc w:val="right"/>
        <w:rPr>
          <w:sz w:val="24"/>
        </w:rPr>
      </w:pPr>
      <w:r>
        <w:rPr>
          <w:sz w:val="24"/>
        </w:rPr>
        <w:t xml:space="preserve">A díjak az </w:t>
      </w:r>
      <w:proofErr w:type="spellStart"/>
      <w:r>
        <w:rPr>
          <w:sz w:val="24"/>
        </w:rPr>
        <w:t>ÁFÁ-t</w:t>
      </w:r>
      <w:proofErr w:type="spellEnd"/>
      <w:r>
        <w:rPr>
          <w:sz w:val="24"/>
        </w:rPr>
        <w:t xml:space="preserve"> nem tartalmazzák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7"/>
        <w:gridCol w:w="3188"/>
        <w:gridCol w:w="40"/>
      </w:tblGrid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sz w:val="24"/>
              </w:rPr>
            </w:pPr>
            <w:r>
              <w:rPr>
                <w:sz w:val="24"/>
              </w:rPr>
              <w:t xml:space="preserve">Közterület-használat módja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sz w:val="24"/>
              </w:rPr>
            </w:pPr>
            <w:r>
              <w:rPr>
                <w:sz w:val="24"/>
              </w:rPr>
              <w:t>Közterület használat díja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z w:val="24"/>
              </w:rPr>
              <w:t xml:space="preserve"> közterületbe </w:t>
            </w:r>
            <w:proofErr w:type="gramStart"/>
            <w:r>
              <w:rPr>
                <w:sz w:val="24"/>
              </w:rPr>
              <w:t>legalább  10</w:t>
            </w:r>
            <w:proofErr w:type="gramEnd"/>
            <w:r>
              <w:rPr>
                <w:sz w:val="24"/>
              </w:rPr>
              <w:t xml:space="preserve"> cm-rel túlnyúló, </w:t>
            </w:r>
            <w:smartTag w:uri="urn:schemas-microsoft-com:office:smarttags" w:element="metricconverter">
              <w:smartTagPr>
                <w:attr w:name="ProductID" w:val="1 m2"/>
              </w:smartTagPr>
              <w:r>
                <w:rPr>
                  <w:sz w:val="24"/>
                </w:rPr>
                <w:t>1 m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felületet meg nem haladó üzlethomlokzat(portál) , kirakatszekrény, üzleti védő-előtető, ernyőszerkezet, hirdető-berendezés (fényreklám), cég-, és címtábla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F5" w:rsidRDefault="00D926F5">
            <w:pPr>
              <w:pStyle w:val="Cmsor2"/>
              <w:rPr>
                <w:sz w:val="24"/>
              </w:rPr>
            </w:pPr>
          </w:p>
          <w:p w:rsidR="00D926F5" w:rsidRDefault="00D92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/év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b) vendéglátó-ipari kitelepülés (előkert) megvalósításához,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  <w:p w:rsidR="00D926F5" w:rsidRDefault="00D926F5">
            <w:pPr>
              <w:jc w:val="center"/>
              <w:rPr>
                <w:sz w:val="24"/>
              </w:rPr>
            </w:pP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 xml:space="preserve">c) árusító (vattacukor, cukorka, zöldség, gyümölcs, virág, hírlap, képeslap, stb. értékesítésére szolgáló) pavilon, </w:t>
            </w:r>
            <w:proofErr w:type="spellStart"/>
            <w:r>
              <w:rPr>
                <w:sz w:val="24"/>
              </w:rPr>
              <w:t>büfékocsi</w:t>
            </w:r>
            <w:proofErr w:type="spellEnd"/>
            <w:r>
              <w:rPr>
                <w:sz w:val="24"/>
              </w:rPr>
              <w:t xml:space="preserve"> elhelyezéséhez,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F5" w:rsidRDefault="00D926F5">
            <w:pPr>
              <w:jc w:val="center"/>
              <w:rPr>
                <w:sz w:val="24"/>
              </w:rPr>
            </w:pPr>
          </w:p>
          <w:p w:rsidR="00D926F5" w:rsidRDefault="00D926F5">
            <w:pPr>
              <w:jc w:val="center"/>
            </w:pPr>
            <w:r>
              <w:rPr>
                <w:sz w:val="24"/>
              </w:rPr>
              <w:t>250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 xml:space="preserve">d/1) árubemutatás céljára, reklámozási célú </w:t>
            </w:r>
            <w:proofErr w:type="gramStart"/>
            <w:r>
              <w:rPr>
                <w:sz w:val="24"/>
              </w:rPr>
              <w:t>árú</w:t>
            </w:r>
            <w:proofErr w:type="gramEnd"/>
            <w:r>
              <w:rPr>
                <w:sz w:val="24"/>
              </w:rPr>
              <w:t xml:space="preserve"> kirakásához, valamint közterületen folyamatos árusításhoz,</w:t>
            </w:r>
          </w:p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d/2) időszakos árubemutatás és árusításhoz,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  <w:p w:rsidR="00D926F5" w:rsidRDefault="00D926F5">
            <w:pPr>
              <w:pStyle w:val="Cmsor2"/>
              <w:rPr>
                <w:b w:val="0"/>
                <w:sz w:val="24"/>
              </w:rPr>
            </w:pPr>
          </w:p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/nap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e) közterületen lévő, vagy közterületbe nyúló árusító automata, egyéb árusító berendezés elhelyezéséhez,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Szvegtrzsbehzssal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f) alkalmi-, és mozgóbolt üzemeltetéséhez, valamint mozgó szolgáltató tevékenység végzéséhez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</w:p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/nap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g) termőföld, humusz tárolás céljára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color w:val="FF0000"/>
                <w:sz w:val="24"/>
              </w:rPr>
            </w:pPr>
            <w:r>
              <w:rPr>
                <w:b w:val="0"/>
                <w:sz w:val="24"/>
              </w:rPr>
              <w:t>250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h) cirkuszi és mutatványos tevékenység gyakorlásához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color w:val="FF0000"/>
                <w:sz w:val="24"/>
              </w:rPr>
            </w:pPr>
            <w:r>
              <w:rPr>
                <w:b w:val="0"/>
                <w:sz w:val="24"/>
              </w:rPr>
              <w:t>200Ft/m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/nap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 xml:space="preserve">j) közhasználatra még át nem adott közterületek (meg nem nyitott utca) ideiglenes hasznosításához.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color w:val="FF0000"/>
                <w:sz w:val="24"/>
              </w:rPr>
            </w:pPr>
            <w:r>
              <w:rPr>
                <w:b w:val="0"/>
                <w:sz w:val="24"/>
              </w:rPr>
              <w:t>50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/év</w:t>
            </w:r>
          </w:p>
        </w:tc>
      </w:tr>
      <w:tr w:rsidR="00D926F5" w:rsidTr="00D926F5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k) a közterület felbontására, amennyiben nem építési engedély köteles:</w:t>
            </w:r>
          </w:p>
          <w:p w:rsidR="00D926F5" w:rsidRDefault="00D926F5" w:rsidP="004F10B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másodrendű főutak, összekötő utak mellett (országos közutak,</w:t>
            </w:r>
          </w:p>
          <w:p w:rsidR="00D926F5" w:rsidRDefault="00D926F5" w:rsidP="004F10B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mellékutak, helyi közutak,</w:t>
            </w:r>
          </w:p>
          <w:p w:rsidR="00D926F5" w:rsidRDefault="00D926F5" w:rsidP="004F10B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kerékpárút, gyalogút, járda és mellettük levő közterület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F5" w:rsidRDefault="00D926F5">
            <w:pPr>
              <w:pStyle w:val="Cmsor2"/>
              <w:jc w:val="left"/>
              <w:rPr>
                <w:b w:val="0"/>
                <w:sz w:val="24"/>
              </w:rPr>
            </w:pPr>
          </w:p>
          <w:p w:rsidR="00D926F5" w:rsidRDefault="00D926F5">
            <w:pPr>
              <w:pStyle w:val="Cmsor2"/>
              <w:jc w:val="left"/>
              <w:rPr>
                <w:b w:val="0"/>
                <w:sz w:val="24"/>
              </w:rPr>
            </w:pPr>
          </w:p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 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/nap</w:t>
            </w:r>
          </w:p>
          <w:p w:rsidR="00D926F5" w:rsidRDefault="00D926F5">
            <w:pPr>
              <w:jc w:val="center"/>
            </w:pPr>
          </w:p>
          <w:p w:rsidR="00D926F5" w:rsidRDefault="00D92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  <w:p w:rsidR="00D926F5" w:rsidRDefault="00D926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D926F5" w:rsidTr="00D926F5">
        <w:trPr>
          <w:gridAfter w:val="1"/>
          <w:wAfter w:w="40" w:type="dxa"/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l) önálló hirdető-berendezés, transzparens (a hirdetési felület alapján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</w:tc>
      </w:tr>
      <w:tr w:rsidR="00D926F5" w:rsidTr="00D926F5">
        <w:trPr>
          <w:gridAfter w:val="1"/>
          <w:wAfter w:w="40" w:type="dxa"/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m) gépjármű elhelyezése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</w:tc>
      </w:tr>
      <w:tr w:rsidR="00D926F5" w:rsidTr="00D926F5">
        <w:trPr>
          <w:gridAfter w:val="1"/>
          <w:wAfter w:w="40" w:type="dxa"/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n) építési munkával kapcsolatos állvány, építési anyag és törmelék tárolása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</w:tc>
      </w:tr>
      <w:tr w:rsidR="00D926F5" w:rsidTr="00D926F5">
        <w:trPr>
          <w:gridAfter w:val="1"/>
          <w:wAfter w:w="40" w:type="dxa"/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o) ügyességi játékautomata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2000Ft/m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/hó</w:t>
            </w:r>
          </w:p>
        </w:tc>
      </w:tr>
      <w:tr w:rsidR="00D926F5" w:rsidTr="00D926F5">
        <w:trPr>
          <w:gridAfter w:val="1"/>
          <w:wAfter w:w="40" w:type="dxa"/>
          <w:cantSplit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rPr>
                <w:sz w:val="24"/>
              </w:rPr>
            </w:pPr>
            <w:r>
              <w:rPr>
                <w:sz w:val="24"/>
              </w:rPr>
              <w:t>p) kiállítás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F5" w:rsidRDefault="00D926F5">
            <w:pPr>
              <w:pStyle w:val="Cmsor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200Ft/m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>/nap</w:t>
            </w:r>
          </w:p>
        </w:tc>
      </w:tr>
    </w:tbl>
    <w:p w:rsidR="00D926F5" w:rsidRDefault="00D926F5" w:rsidP="00D926F5">
      <w:pPr>
        <w:jc w:val="both"/>
        <w:rPr>
          <w:b/>
        </w:rPr>
      </w:pPr>
    </w:p>
    <w:p w:rsidR="00D926F5" w:rsidRDefault="00D926F5" w:rsidP="00D926F5"/>
    <w:p w:rsidR="00680A9C" w:rsidRDefault="00680A9C"/>
    <w:sectPr w:rsidR="006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0545"/>
    <w:multiLevelType w:val="singleLevel"/>
    <w:tmpl w:val="BF3E2C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7B37395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0B"/>
    <w:rsid w:val="000B360B"/>
    <w:rsid w:val="00680A9C"/>
    <w:rsid w:val="00A13DAB"/>
    <w:rsid w:val="00D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6F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D926F5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926F5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D926F5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D926F5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6F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D926F5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926F5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D926F5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D926F5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1550</Characters>
  <Application>Microsoft Office Word</Application>
  <DocSecurity>0</DocSecurity>
  <Lines>12</Lines>
  <Paragraphs>3</Paragraphs>
  <ScaleCrop>false</ScaleCrop>
  <Company>-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Ács Attila</dc:creator>
  <cp:keywords/>
  <dc:description/>
  <cp:lastModifiedBy>Ács Attila</cp:lastModifiedBy>
  <cp:revision>2</cp:revision>
  <dcterms:created xsi:type="dcterms:W3CDTF">2014-03-03T11:12:00Z</dcterms:created>
  <dcterms:modified xsi:type="dcterms:W3CDTF">2014-03-03T11:12:00Z</dcterms:modified>
</cp:coreProperties>
</file>