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BC1" w:rsidRDefault="00CC6BC1" w:rsidP="00CC6BC1">
      <w:pPr>
        <w:rPr>
          <w:sz w:val="22"/>
          <w:u w:val="single"/>
        </w:rPr>
      </w:pPr>
      <w:r>
        <w:rPr>
          <w:sz w:val="22"/>
          <w:u w:val="single"/>
        </w:rPr>
        <w:t>6. melléklet a 15/2011. (V. 25.) önkormányzati rendelethez</w:t>
      </w:r>
    </w:p>
    <w:p w:rsidR="00CC6BC1" w:rsidRDefault="00CC6BC1" w:rsidP="00CC6BC1"/>
    <w:p w:rsidR="00CC6BC1" w:rsidRDefault="00CC6BC1" w:rsidP="00CC6BC1">
      <w:pPr>
        <w:pStyle w:val="Cmsor4"/>
        <w:rPr>
          <w:color w:val="auto"/>
        </w:rPr>
      </w:pPr>
    </w:p>
    <w:p w:rsidR="00CC6BC1" w:rsidRDefault="00CC6BC1" w:rsidP="00CC6BC1">
      <w:pPr>
        <w:pStyle w:val="Cmsor4"/>
        <w:rPr>
          <w:color w:val="auto"/>
          <w:sz w:val="22"/>
        </w:rPr>
      </w:pPr>
      <w:r>
        <w:rPr>
          <w:color w:val="auto"/>
          <w:sz w:val="22"/>
        </w:rPr>
        <w:t>1. Állattartó létesítmények védőtávolságai</w:t>
      </w:r>
    </w:p>
    <w:p w:rsidR="00CC6BC1" w:rsidRDefault="00CC6BC1" w:rsidP="00CC6BC1">
      <w:pPr>
        <w:ind w:left="705" w:hanging="705"/>
        <w:jc w:val="center"/>
        <w:rPr>
          <w:b/>
          <w:sz w:val="22"/>
        </w:rPr>
      </w:pPr>
    </w:p>
    <w:p w:rsidR="00CC6BC1" w:rsidRDefault="00CC6BC1" w:rsidP="00CC6BC1">
      <w:pPr>
        <w:ind w:left="705" w:hanging="705"/>
        <w:jc w:val="both"/>
        <w:rPr>
          <w:b/>
          <w:sz w:val="22"/>
        </w:rPr>
      </w:pPr>
      <w:r>
        <w:rPr>
          <w:b/>
          <w:sz w:val="22"/>
        </w:rPr>
        <w:t xml:space="preserve">1.1 Szabályok </w:t>
      </w:r>
    </w:p>
    <w:p w:rsidR="00CC6BC1" w:rsidRDefault="00CC6BC1" w:rsidP="00CC6BC1">
      <w:pPr>
        <w:ind w:left="705" w:hanging="705"/>
        <w:jc w:val="both"/>
        <w:rPr>
          <w:b/>
          <w:sz w:val="22"/>
        </w:rPr>
      </w:pPr>
    </w:p>
    <w:p w:rsidR="00CC6BC1" w:rsidRDefault="00CC6BC1" w:rsidP="00CC6BC1">
      <w:pPr>
        <w:jc w:val="both"/>
        <w:rPr>
          <w:sz w:val="22"/>
        </w:rPr>
      </w:pPr>
      <w:r>
        <w:rPr>
          <w:sz w:val="22"/>
        </w:rPr>
        <w:t>1.1.1 A baromfik és a prémes állatok ketrece, ólja, kifutója ásott kúttól min. 10,0m, fúrt kúttól min. 5,0m távolságra helyezhető el.</w:t>
      </w:r>
    </w:p>
    <w:p w:rsidR="00CC6BC1" w:rsidRDefault="00CC6BC1" w:rsidP="00CC6BC1">
      <w:pPr>
        <w:jc w:val="both"/>
        <w:rPr>
          <w:sz w:val="22"/>
        </w:rPr>
      </w:pPr>
    </w:p>
    <w:p w:rsidR="00CC6BC1" w:rsidRDefault="00CC6BC1" w:rsidP="00CC6BC1">
      <w:pPr>
        <w:rPr>
          <w:sz w:val="22"/>
        </w:rPr>
      </w:pPr>
      <w:r>
        <w:rPr>
          <w:sz w:val="22"/>
        </w:rPr>
        <w:t xml:space="preserve">1.1.2 A kis haszonállatok és a nagy haszonállatok istállója, kifutója, komposztáló, siló, szemétgyűjtő, almostrágya és trágyalé gyűjtő ásott kúttól min. 15,0m, fúrt kúttól min. 10,0m, csatlakozó vízvezetéktől min. 2,0m, vízvezetéki „kerti csaptól” min. 3,0m távolságra legyen. Fúrt kút és trágya tároló között a védőtávolság </w:t>
      </w:r>
      <w:smartTag w:uri="urn:schemas-microsoft-com:office:smarttags" w:element="metricconverter">
        <w:smartTagPr>
          <w:attr w:name="ProductID" w:val="100 m"/>
        </w:smartTagPr>
        <w:r>
          <w:rPr>
            <w:sz w:val="22"/>
          </w:rPr>
          <w:t>100 m</w:t>
        </w:r>
      </w:smartTag>
      <w:r>
        <w:rPr>
          <w:sz w:val="22"/>
        </w:rPr>
        <w:t>.</w:t>
      </w:r>
    </w:p>
    <w:p w:rsidR="00CC6BC1" w:rsidRDefault="00CC6BC1" w:rsidP="00CC6BC1">
      <w:pPr>
        <w:jc w:val="both"/>
        <w:rPr>
          <w:sz w:val="22"/>
        </w:rPr>
      </w:pPr>
    </w:p>
    <w:p w:rsidR="00CC6BC1" w:rsidRDefault="00CC6BC1" w:rsidP="00CC6BC1">
      <w:pPr>
        <w:numPr>
          <w:ilvl w:val="2"/>
          <w:numId w:val="1"/>
        </w:numPr>
        <w:jc w:val="both"/>
        <w:rPr>
          <w:sz w:val="22"/>
        </w:rPr>
      </w:pPr>
      <w:r>
        <w:rPr>
          <w:sz w:val="22"/>
        </w:rPr>
        <w:t>Zárt trágyatároló, zárt trágyalégyűjtő és az állattartó épület között nem kell védőtávolságot tartani, ha:</w:t>
      </w:r>
    </w:p>
    <w:p w:rsidR="00CC6BC1" w:rsidRDefault="00CC6BC1" w:rsidP="00CC6BC1">
      <w:pPr>
        <w:ind w:right="3827"/>
        <w:jc w:val="both"/>
        <w:rPr>
          <w:sz w:val="22"/>
        </w:rPr>
      </w:pPr>
      <w:r>
        <w:rPr>
          <w:sz w:val="22"/>
        </w:rPr>
        <w:t>az vízzáró kivitelű és csatornaszellőzővel ellátott zárt fedlappal  készült és az épület állékonyságát nem veszélyezteti.</w:t>
      </w:r>
    </w:p>
    <w:p w:rsidR="00CC6BC1" w:rsidRDefault="00CC6BC1" w:rsidP="00CC6BC1">
      <w:pPr>
        <w:jc w:val="both"/>
        <w:rPr>
          <w:sz w:val="22"/>
        </w:rPr>
      </w:pPr>
    </w:p>
    <w:p w:rsidR="00CC6BC1" w:rsidRDefault="00CC6BC1" w:rsidP="00CC6BC1">
      <w:pPr>
        <w:ind w:left="1418" w:right="3827"/>
        <w:jc w:val="center"/>
        <w:rPr>
          <w:sz w:val="22"/>
        </w:rPr>
      </w:pPr>
    </w:p>
    <w:p w:rsidR="00CC6BC1" w:rsidRDefault="00CC6BC1" w:rsidP="00CC6BC1">
      <w:pPr>
        <w:pStyle w:val="Szvegtrzs2"/>
        <w:rPr>
          <w:b/>
          <w:bCs/>
          <w:sz w:val="22"/>
        </w:rPr>
      </w:pPr>
      <w:smartTag w:uri="urn:schemas-microsoft-com:office:smarttags" w:element="metricconverter">
        <w:smartTagPr>
          <w:attr w:name="ProductID" w:val="1.2 A"/>
        </w:smartTagPr>
        <w:r>
          <w:rPr>
            <w:b/>
            <w:bCs/>
            <w:sz w:val="22"/>
          </w:rPr>
          <w:t>1.2 A</w:t>
        </w:r>
      </w:smartTag>
      <w:r>
        <w:rPr>
          <w:b/>
          <w:bCs/>
          <w:sz w:val="22"/>
        </w:rPr>
        <w:t xml:space="preserve"> haszonállattartást szolgáló új épületek és építmények (kifutó, trágyatároló, trágyalégyűjtő) elhelyezési távolsága lakóépülettől ( a távolság méterben ):</w:t>
      </w:r>
    </w:p>
    <w:p w:rsidR="00CC6BC1" w:rsidRDefault="00CC6BC1" w:rsidP="00CC6BC1">
      <w:pPr>
        <w:jc w:val="both"/>
        <w:rPr>
          <w:sz w:val="22"/>
        </w:rPr>
      </w:pPr>
    </w:p>
    <w:p w:rsidR="00CC6BC1" w:rsidRDefault="00CC6BC1" w:rsidP="00CC6BC1">
      <w:pPr>
        <w:pBdr>
          <w:top w:val="single" w:sz="4" w:space="1" w:color="auto"/>
        </w:pBdr>
      </w:pPr>
      <w:r>
        <w:tab/>
      </w:r>
      <w:r>
        <w:tab/>
      </w:r>
      <w:r>
        <w:tab/>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tblPr>
      <w:tblGrid>
        <w:gridCol w:w="1230"/>
        <w:gridCol w:w="1230"/>
        <w:gridCol w:w="985"/>
        <w:gridCol w:w="1107"/>
        <w:gridCol w:w="985"/>
        <w:gridCol w:w="1351"/>
        <w:gridCol w:w="1107"/>
        <w:gridCol w:w="1107"/>
      </w:tblGrid>
      <w:tr w:rsidR="00CC6BC1" w:rsidTr="00CC6BC1">
        <w:trPr>
          <w:trHeight w:val="250"/>
        </w:trPr>
        <w:tc>
          <w:tcPr>
            <w:tcW w:w="1230" w:type="dxa"/>
            <w:tcBorders>
              <w:top w:val="single" w:sz="4" w:space="0" w:color="auto"/>
              <w:left w:val="single" w:sz="4" w:space="0" w:color="auto"/>
              <w:bottom w:val="single" w:sz="4" w:space="0" w:color="auto"/>
              <w:right w:val="single" w:sz="4" w:space="0" w:color="auto"/>
            </w:tcBorders>
          </w:tcPr>
          <w:p w:rsidR="00CC6BC1" w:rsidRDefault="00CC6BC1">
            <w:pPr>
              <w:jc w:val="center"/>
            </w:pPr>
          </w:p>
        </w:tc>
        <w:tc>
          <w:tcPr>
            <w:tcW w:w="1230" w:type="dxa"/>
            <w:tcBorders>
              <w:top w:val="single" w:sz="4" w:space="0" w:color="auto"/>
              <w:left w:val="single" w:sz="4" w:space="0" w:color="auto"/>
              <w:bottom w:val="single" w:sz="4" w:space="0" w:color="auto"/>
              <w:right w:val="nil"/>
            </w:tcBorders>
            <w:hideMark/>
          </w:tcPr>
          <w:p w:rsidR="00CC6BC1" w:rsidRDefault="00CC6BC1">
            <w:pPr>
              <w:jc w:val="center"/>
            </w:pPr>
            <w:r>
              <w:rPr>
                <w:b/>
                <w:bCs/>
              </w:rPr>
              <w:t>A</w:t>
            </w:r>
          </w:p>
        </w:tc>
        <w:tc>
          <w:tcPr>
            <w:tcW w:w="985" w:type="dxa"/>
            <w:tcBorders>
              <w:top w:val="single" w:sz="4" w:space="0" w:color="auto"/>
              <w:left w:val="single" w:sz="4" w:space="0" w:color="auto"/>
              <w:bottom w:val="single" w:sz="4" w:space="0" w:color="auto"/>
              <w:right w:val="single" w:sz="4" w:space="0" w:color="auto"/>
            </w:tcBorders>
            <w:hideMark/>
          </w:tcPr>
          <w:p w:rsidR="00CC6BC1" w:rsidRDefault="00CC6BC1">
            <w:pPr>
              <w:jc w:val="center"/>
              <w:rPr>
                <w:b/>
                <w:bCs/>
              </w:rPr>
            </w:pPr>
            <w:r>
              <w:rPr>
                <w:b/>
                <w:bCs/>
              </w:rPr>
              <w:t>B</w:t>
            </w:r>
          </w:p>
        </w:tc>
        <w:tc>
          <w:tcPr>
            <w:tcW w:w="1107" w:type="dxa"/>
            <w:tcBorders>
              <w:top w:val="single" w:sz="4" w:space="0" w:color="auto"/>
              <w:left w:val="single" w:sz="4" w:space="0" w:color="auto"/>
              <w:bottom w:val="single" w:sz="4" w:space="0" w:color="auto"/>
              <w:right w:val="single" w:sz="4" w:space="0" w:color="auto"/>
            </w:tcBorders>
            <w:hideMark/>
          </w:tcPr>
          <w:p w:rsidR="00CC6BC1" w:rsidRDefault="00CC6BC1">
            <w:pPr>
              <w:jc w:val="center"/>
              <w:rPr>
                <w:b/>
                <w:bCs/>
              </w:rPr>
            </w:pPr>
            <w:r>
              <w:rPr>
                <w:b/>
                <w:bCs/>
              </w:rPr>
              <w:t>C</w:t>
            </w:r>
          </w:p>
        </w:tc>
        <w:tc>
          <w:tcPr>
            <w:tcW w:w="985" w:type="dxa"/>
            <w:tcBorders>
              <w:top w:val="single" w:sz="4" w:space="0" w:color="auto"/>
              <w:left w:val="single" w:sz="4" w:space="0" w:color="auto"/>
              <w:bottom w:val="single" w:sz="4" w:space="0" w:color="auto"/>
              <w:right w:val="single" w:sz="4" w:space="0" w:color="auto"/>
            </w:tcBorders>
            <w:hideMark/>
          </w:tcPr>
          <w:p w:rsidR="00CC6BC1" w:rsidRDefault="00CC6BC1">
            <w:pPr>
              <w:jc w:val="center"/>
              <w:rPr>
                <w:b/>
                <w:bCs/>
              </w:rPr>
            </w:pPr>
            <w:r>
              <w:rPr>
                <w:b/>
                <w:bCs/>
              </w:rPr>
              <w:t>D</w:t>
            </w:r>
          </w:p>
        </w:tc>
        <w:tc>
          <w:tcPr>
            <w:tcW w:w="1351" w:type="dxa"/>
            <w:tcBorders>
              <w:top w:val="single" w:sz="4" w:space="0" w:color="auto"/>
              <w:left w:val="single" w:sz="4" w:space="0" w:color="auto"/>
              <w:bottom w:val="single" w:sz="4" w:space="0" w:color="auto"/>
              <w:right w:val="single" w:sz="4" w:space="0" w:color="auto"/>
            </w:tcBorders>
            <w:hideMark/>
          </w:tcPr>
          <w:p w:rsidR="00CC6BC1" w:rsidRDefault="00CC6BC1">
            <w:pPr>
              <w:jc w:val="center"/>
              <w:rPr>
                <w:b/>
                <w:bCs/>
              </w:rPr>
            </w:pPr>
            <w:r>
              <w:rPr>
                <w:b/>
                <w:bCs/>
              </w:rPr>
              <w:t>E</w:t>
            </w:r>
          </w:p>
        </w:tc>
        <w:tc>
          <w:tcPr>
            <w:tcW w:w="1107" w:type="dxa"/>
            <w:tcBorders>
              <w:top w:val="single" w:sz="4" w:space="0" w:color="auto"/>
              <w:left w:val="single" w:sz="4" w:space="0" w:color="auto"/>
              <w:bottom w:val="single" w:sz="4" w:space="0" w:color="auto"/>
              <w:right w:val="single" w:sz="4" w:space="0" w:color="auto"/>
            </w:tcBorders>
            <w:hideMark/>
          </w:tcPr>
          <w:p w:rsidR="00CC6BC1" w:rsidRDefault="00CC6BC1">
            <w:pPr>
              <w:jc w:val="center"/>
              <w:rPr>
                <w:b/>
                <w:bCs/>
              </w:rPr>
            </w:pPr>
            <w:r>
              <w:rPr>
                <w:b/>
                <w:bCs/>
              </w:rPr>
              <w:t>F</w:t>
            </w:r>
          </w:p>
        </w:tc>
        <w:tc>
          <w:tcPr>
            <w:tcW w:w="1107" w:type="dxa"/>
            <w:tcBorders>
              <w:top w:val="single" w:sz="4" w:space="0" w:color="auto"/>
              <w:left w:val="single" w:sz="4" w:space="0" w:color="auto"/>
              <w:bottom w:val="single" w:sz="4" w:space="0" w:color="auto"/>
              <w:right w:val="single" w:sz="4" w:space="0" w:color="auto"/>
            </w:tcBorders>
            <w:hideMark/>
          </w:tcPr>
          <w:p w:rsidR="00CC6BC1" w:rsidRDefault="00CC6BC1">
            <w:pPr>
              <w:jc w:val="center"/>
              <w:rPr>
                <w:b/>
                <w:bCs/>
              </w:rPr>
            </w:pPr>
            <w:r>
              <w:rPr>
                <w:b/>
                <w:bCs/>
              </w:rPr>
              <w:t>G</w:t>
            </w:r>
          </w:p>
        </w:tc>
      </w:tr>
      <w:tr w:rsidR="00CC6BC1" w:rsidTr="00CC6BC1">
        <w:trPr>
          <w:trHeight w:val="250"/>
        </w:trPr>
        <w:tc>
          <w:tcPr>
            <w:tcW w:w="1230" w:type="dxa"/>
            <w:tcBorders>
              <w:top w:val="single" w:sz="4" w:space="0" w:color="auto"/>
              <w:left w:val="single" w:sz="4" w:space="0" w:color="auto"/>
              <w:bottom w:val="single" w:sz="4" w:space="0" w:color="auto"/>
              <w:right w:val="single" w:sz="4" w:space="0" w:color="auto"/>
            </w:tcBorders>
          </w:tcPr>
          <w:p w:rsidR="00CC6BC1" w:rsidRDefault="00CC6BC1"/>
        </w:tc>
        <w:tc>
          <w:tcPr>
            <w:tcW w:w="1230" w:type="dxa"/>
            <w:tcBorders>
              <w:top w:val="single" w:sz="4" w:space="0" w:color="auto"/>
              <w:left w:val="single" w:sz="4" w:space="0" w:color="auto"/>
              <w:bottom w:val="single" w:sz="4" w:space="0" w:color="auto"/>
              <w:right w:val="nil"/>
            </w:tcBorders>
            <w:hideMark/>
          </w:tcPr>
          <w:p w:rsidR="00CC6BC1" w:rsidRDefault="00CC6BC1">
            <w:r>
              <w:t>Az állatok darabszáma</w:t>
            </w:r>
          </w:p>
        </w:tc>
        <w:tc>
          <w:tcPr>
            <w:tcW w:w="985" w:type="dxa"/>
            <w:tcBorders>
              <w:top w:val="single" w:sz="4" w:space="0" w:color="auto"/>
              <w:left w:val="single" w:sz="4" w:space="0" w:color="auto"/>
              <w:bottom w:val="single" w:sz="4" w:space="0" w:color="auto"/>
              <w:right w:val="single" w:sz="4" w:space="0" w:color="auto"/>
            </w:tcBorders>
          </w:tcPr>
          <w:p w:rsidR="00CC6BC1" w:rsidRDefault="00CC6BC1">
            <w:pPr>
              <w:jc w:val="center"/>
              <w:rPr>
                <w:b/>
                <w:bCs/>
              </w:rPr>
            </w:pPr>
          </w:p>
          <w:p w:rsidR="00CC6BC1" w:rsidRDefault="00CC6BC1">
            <w:pPr>
              <w:jc w:val="center"/>
            </w:pPr>
            <w:r>
              <w:t>baromfi</w:t>
            </w:r>
          </w:p>
        </w:tc>
        <w:tc>
          <w:tcPr>
            <w:tcW w:w="1107" w:type="dxa"/>
            <w:tcBorders>
              <w:top w:val="single" w:sz="4" w:space="0" w:color="auto"/>
              <w:left w:val="single" w:sz="4" w:space="0" w:color="auto"/>
              <w:bottom w:val="single" w:sz="4" w:space="0" w:color="auto"/>
              <w:right w:val="single" w:sz="4" w:space="0" w:color="auto"/>
            </w:tcBorders>
          </w:tcPr>
          <w:p w:rsidR="00CC6BC1" w:rsidRDefault="00CC6BC1">
            <w:pPr>
              <w:jc w:val="center"/>
              <w:rPr>
                <w:b/>
                <w:bCs/>
              </w:rPr>
            </w:pPr>
          </w:p>
          <w:p w:rsidR="00CC6BC1" w:rsidRDefault="00CC6BC1">
            <w:pPr>
              <w:jc w:val="center"/>
            </w:pPr>
            <w:r>
              <w:t xml:space="preserve">kis haszonállat </w:t>
            </w:r>
          </w:p>
        </w:tc>
        <w:tc>
          <w:tcPr>
            <w:tcW w:w="985" w:type="dxa"/>
            <w:tcBorders>
              <w:top w:val="single" w:sz="4" w:space="0" w:color="auto"/>
              <w:left w:val="single" w:sz="4" w:space="0" w:color="auto"/>
              <w:bottom w:val="single" w:sz="4" w:space="0" w:color="auto"/>
              <w:right w:val="single" w:sz="4" w:space="0" w:color="auto"/>
            </w:tcBorders>
          </w:tcPr>
          <w:p w:rsidR="00CC6BC1" w:rsidRDefault="00CC6BC1">
            <w:pPr>
              <w:jc w:val="center"/>
              <w:rPr>
                <w:b/>
                <w:bCs/>
              </w:rPr>
            </w:pPr>
          </w:p>
          <w:p w:rsidR="00CC6BC1" w:rsidRDefault="00CC6BC1">
            <w:pPr>
              <w:jc w:val="center"/>
            </w:pPr>
            <w:r>
              <w:t xml:space="preserve">prémes állat </w:t>
            </w:r>
          </w:p>
        </w:tc>
        <w:tc>
          <w:tcPr>
            <w:tcW w:w="1351" w:type="dxa"/>
            <w:tcBorders>
              <w:top w:val="single" w:sz="4" w:space="0" w:color="auto"/>
              <w:left w:val="single" w:sz="4" w:space="0" w:color="auto"/>
              <w:bottom w:val="single" w:sz="4" w:space="0" w:color="auto"/>
              <w:right w:val="single" w:sz="4" w:space="0" w:color="auto"/>
            </w:tcBorders>
          </w:tcPr>
          <w:p w:rsidR="00CC6BC1" w:rsidRDefault="00CC6BC1">
            <w:pPr>
              <w:jc w:val="center"/>
              <w:rPr>
                <w:b/>
                <w:bCs/>
              </w:rPr>
            </w:pPr>
          </w:p>
          <w:p w:rsidR="00CC6BC1" w:rsidRDefault="00CC6BC1">
            <w:pPr>
              <w:jc w:val="center"/>
            </w:pPr>
            <w:r>
              <w:t>szarvasmarha</w:t>
            </w:r>
          </w:p>
        </w:tc>
        <w:tc>
          <w:tcPr>
            <w:tcW w:w="1107" w:type="dxa"/>
            <w:tcBorders>
              <w:top w:val="single" w:sz="4" w:space="0" w:color="auto"/>
              <w:left w:val="single" w:sz="4" w:space="0" w:color="auto"/>
              <w:bottom w:val="single" w:sz="4" w:space="0" w:color="auto"/>
              <w:right w:val="single" w:sz="4" w:space="0" w:color="auto"/>
            </w:tcBorders>
          </w:tcPr>
          <w:p w:rsidR="00CC6BC1" w:rsidRDefault="00CC6BC1">
            <w:pPr>
              <w:jc w:val="center"/>
              <w:rPr>
                <w:b/>
                <w:bCs/>
              </w:rPr>
            </w:pPr>
          </w:p>
          <w:p w:rsidR="00CC6BC1" w:rsidRDefault="00CC6BC1">
            <w:pPr>
              <w:jc w:val="center"/>
            </w:pPr>
            <w:r>
              <w:t>ló</w:t>
            </w:r>
          </w:p>
        </w:tc>
        <w:tc>
          <w:tcPr>
            <w:tcW w:w="1107" w:type="dxa"/>
            <w:tcBorders>
              <w:top w:val="single" w:sz="4" w:space="0" w:color="auto"/>
              <w:left w:val="single" w:sz="4" w:space="0" w:color="auto"/>
              <w:bottom w:val="single" w:sz="4" w:space="0" w:color="auto"/>
              <w:right w:val="single" w:sz="4" w:space="0" w:color="auto"/>
            </w:tcBorders>
          </w:tcPr>
          <w:p w:rsidR="00CC6BC1" w:rsidRDefault="00CC6BC1">
            <w:pPr>
              <w:jc w:val="center"/>
              <w:rPr>
                <w:b/>
                <w:bCs/>
              </w:rPr>
            </w:pPr>
          </w:p>
          <w:p w:rsidR="00CC6BC1" w:rsidRDefault="00CC6BC1">
            <w:pPr>
              <w:jc w:val="center"/>
            </w:pPr>
            <w:r>
              <w:t>egyéb nagy</w:t>
            </w:r>
          </w:p>
          <w:p w:rsidR="00CC6BC1" w:rsidRDefault="00CC6BC1">
            <w:pPr>
              <w:jc w:val="center"/>
            </w:pPr>
            <w:r>
              <w:t>haszonállat</w:t>
            </w:r>
          </w:p>
        </w:tc>
      </w:tr>
      <w:tr w:rsidR="00CC6BC1" w:rsidTr="00CC6BC1">
        <w:trPr>
          <w:trHeight w:val="250"/>
        </w:trPr>
        <w:tc>
          <w:tcPr>
            <w:tcW w:w="1230" w:type="dxa"/>
            <w:tcBorders>
              <w:top w:val="single" w:sz="4" w:space="0" w:color="auto"/>
              <w:left w:val="single" w:sz="4" w:space="0" w:color="auto"/>
              <w:bottom w:val="single" w:sz="4" w:space="0" w:color="auto"/>
              <w:right w:val="single" w:sz="4" w:space="0" w:color="auto"/>
            </w:tcBorders>
            <w:hideMark/>
          </w:tcPr>
          <w:p w:rsidR="00CC6BC1" w:rsidRDefault="00CC6BC1">
            <w:pPr>
              <w:jc w:val="center"/>
              <w:rPr>
                <w:b/>
                <w:bCs/>
              </w:rPr>
            </w:pPr>
            <w:r>
              <w:rPr>
                <w:b/>
                <w:bCs/>
              </w:rPr>
              <w:t>1</w:t>
            </w:r>
          </w:p>
        </w:tc>
        <w:tc>
          <w:tcPr>
            <w:tcW w:w="1230"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2-ig</w:t>
            </w:r>
          </w:p>
        </w:tc>
        <w:tc>
          <w:tcPr>
            <w:tcW w:w="985"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6</w:t>
            </w:r>
          </w:p>
        </w:tc>
        <w:tc>
          <w:tcPr>
            <w:tcW w:w="1107"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6</w:t>
            </w:r>
          </w:p>
        </w:tc>
        <w:tc>
          <w:tcPr>
            <w:tcW w:w="985"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6</w:t>
            </w:r>
          </w:p>
        </w:tc>
        <w:tc>
          <w:tcPr>
            <w:tcW w:w="1351"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10</w:t>
            </w:r>
          </w:p>
        </w:tc>
        <w:tc>
          <w:tcPr>
            <w:tcW w:w="1107"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10</w:t>
            </w:r>
          </w:p>
        </w:tc>
        <w:tc>
          <w:tcPr>
            <w:tcW w:w="1107"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10</w:t>
            </w:r>
          </w:p>
        </w:tc>
      </w:tr>
      <w:tr w:rsidR="00CC6BC1" w:rsidTr="00CC6BC1">
        <w:trPr>
          <w:trHeight w:val="250"/>
        </w:trPr>
        <w:tc>
          <w:tcPr>
            <w:tcW w:w="1230" w:type="dxa"/>
            <w:tcBorders>
              <w:top w:val="single" w:sz="4" w:space="0" w:color="auto"/>
              <w:left w:val="single" w:sz="4" w:space="0" w:color="auto"/>
              <w:bottom w:val="single" w:sz="4" w:space="0" w:color="auto"/>
              <w:right w:val="single" w:sz="4" w:space="0" w:color="auto"/>
            </w:tcBorders>
            <w:hideMark/>
          </w:tcPr>
          <w:p w:rsidR="00CC6BC1" w:rsidRDefault="00CC6BC1">
            <w:pPr>
              <w:jc w:val="center"/>
              <w:rPr>
                <w:b/>
                <w:bCs/>
              </w:rPr>
            </w:pPr>
            <w:r>
              <w:rPr>
                <w:b/>
                <w:bCs/>
              </w:rPr>
              <w:t>2</w:t>
            </w:r>
          </w:p>
        </w:tc>
        <w:tc>
          <w:tcPr>
            <w:tcW w:w="1230"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2-5</w:t>
            </w:r>
          </w:p>
        </w:tc>
        <w:tc>
          <w:tcPr>
            <w:tcW w:w="985"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6</w:t>
            </w:r>
          </w:p>
        </w:tc>
        <w:tc>
          <w:tcPr>
            <w:tcW w:w="1107"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6</w:t>
            </w:r>
          </w:p>
        </w:tc>
        <w:tc>
          <w:tcPr>
            <w:tcW w:w="985"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6</w:t>
            </w:r>
          </w:p>
        </w:tc>
        <w:tc>
          <w:tcPr>
            <w:tcW w:w="1351"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15</w:t>
            </w:r>
          </w:p>
        </w:tc>
        <w:tc>
          <w:tcPr>
            <w:tcW w:w="1107"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10</w:t>
            </w:r>
          </w:p>
        </w:tc>
        <w:tc>
          <w:tcPr>
            <w:tcW w:w="1107"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10</w:t>
            </w:r>
          </w:p>
        </w:tc>
      </w:tr>
      <w:tr w:rsidR="00CC6BC1" w:rsidTr="00CC6BC1">
        <w:trPr>
          <w:trHeight w:val="250"/>
        </w:trPr>
        <w:tc>
          <w:tcPr>
            <w:tcW w:w="1230" w:type="dxa"/>
            <w:tcBorders>
              <w:top w:val="single" w:sz="4" w:space="0" w:color="auto"/>
              <w:left w:val="single" w:sz="4" w:space="0" w:color="auto"/>
              <w:bottom w:val="single" w:sz="4" w:space="0" w:color="auto"/>
              <w:right w:val="single" w:sz="4" w:space="0" w:color="auto"/>
            </w:tcBorders>
            <w:hideMark/>
          </w:tcPr>
          <w:p w:rsidR="00CC6BC1" w:rsidRDefault="00CC6BC1">
            <w:pPr>
              <w:jc w:val="center"/>
              <w:rPr>
                <w:b/>
                <w:bCs/>
              </w:rPr>
            </w:pPr>
            <w:r>
              <w:rPr>
                <w:b/>
                <w:bCs/>
              </w:rPr>
              <w:t>3</w:t>
            </w:r>
          </w:p>
        </w:tc>
        <w:tc>
          <w:tcPr>
            <w:tcW w:w="1230"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5-15</w:t>
            </w:r>
          </w:p>
        </w:tc>
        <w:tc>
          <w:tcPr>
            <w:tcW w:w="985"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6</w:t>
            </w:r>
          </w:p>
        </w:tc>
        <w:tc>
          <w:tcPr>
            <w:tcW w:w="1107"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6</w:t>
            </w:r>
          </w:p>
        </w:tc>
        <w:tc>
          <w:tcPr>
            <w:tcW w:w="985"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6</w:t>
            </w:r>
          </w:p>
        </w:tc>
        <w:tc>
          <w:tcPr>
            <w:tcW w:w="1351"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ke</w:t>
            </w:r>
          </w:p>
        </w:tc>
        <w:tc>
          <w:tcPr>
            <w:tcW w:w="1107"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12</w:t>
            </w:r>
          </w:p>
        </w:tc>
        <w:tc>
          <w:tcPr>
            <w:tcW w:w="1107"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10</w:t>
            </w:r>
          </w:p>
        </w:tc>
      </w:tr>
      <w:tr w:rsidR="00CC6BC1" w:rsidTr="00CC6BC1">
        <w:trPr>
          <w:trHeight w:val="250"/>
        </w:trPr>
        <w:tc>
          <w:tcPr>
            <w:tcW w:w="1230" w:type="dxa"/>
            <w:tcBorders>
              <w:top w:val="single" w:sz="4" w:space="0" w:color="auto"/>
              <w:left w:val="single" w:sz="4" w:space="0" w:color="auto"/>
              <w:bottom w:val="single" w:sz="4" w:space="0" w:color="auto"/>
              <w:right w:val="single" w:sz="4" w:space="0" w:color="auto"/>
            </w:tcBorders>
            <w:hideMark/>
          </w:tcPr>
          <w:p w:rsidR="00CC6BC1" w:rsidRDefault="00CC6BC1">
            <w:pPr>
              <w:jc w:val="center"/>
              <w:rPr>
                <w:b/>
                <w:bCs/>
              </w:rPr>
            </w:pPr>
            <w:r>
              <w:rPr>
                <w:b/>
                <w:bCs/>
              </w:rPr>
              <w:t>4</w:t>
            </w:r>
          </w:p>
        </w:tc>
        <w:tc>
          <w:tcPr>
            <w:tcW w:w="1230"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15-25</w:t>
            </w:r>
          </w:p>
        </w:tc>
        <w:tc>
          <w:tcPr>
            <w:tcW w:w="985"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6</w:t>
            </w:r>
          </w:p>
        </w:tc>
        <w:tc>
          <w:tcPr>
            <w:tcW w:w="1107"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6</w:t>
            </w:r>
          </w:p>
        </w:tc>
        <w:tc>
          <w:tcPr>
            <w:tcW w:w="985"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6</w:t>
            </w:r>
          </w:p>
        </w:tc>
        <w:tc>
          <w:tcPr>
            <w:tcW w:w="1351"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ke</w:t>
            </w:r>
          </w:p>
        </w:tc>
        <w:tc>
          <w:tcPr>
            <w:tcW w:w="1107"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ke</w:t>
            </w:r>
          </w:p>
        </w:tc>
        <w:tc>
          <w:tcPr>
            <w:tcW w:w="1107"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10</w:t>
            </w:r>
          </w:p>
        </w:tc>
      </w:tr>
      <w:tr w:rsidR="00CC6BC1" w:rsidTr="00CC6BC1">
        <w:trPr>
          <w:trHeight w:val="250"/>
        </w:trPr>
        <w:tc>
          <w:tcPr>
            <w:tcW w:w="1230" w:type="dxa"/>
            <w:tcBorders>
              <w:top w:val="single" w:sz="4" w:space="0" w:color="auto"/>
              <w:left w:val="single" w:sz="4" w:space="0" w:color="auto"/>
              <w:bottom w:val="single" w:sz="4" w:space="0" w:color="auto"/>
              <w:right w:val="single" w:sz="4" w:space="0" w:color="auto"/>
            </w:tcBorders>
            <w:hideMark/>
          </w:tcPr>
          <w:p w:rsidR="00CC6BC1" w:rsidRDefault="00CC6BC1">
            <w:pPr>
              <w:jc w:val="center"/>
              <w:rPr>
                <w:b/>
                <w:bCs/>
              </w:rPr>
            </w:pPr>
            <w:r>
              <w:rPr>
                <w:b/>
                <w:bCs/>
              </w:rPr>
              <w:t>5</w:t>
            </w:r>
          </w:p>
        </w:tc>
        <w:tc>
          <w:tcPr>
            <w:tcW w:w="1230"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25-50</w:t>
            </w:r>
          </w:p>
        </w:tc>
        <w:tc>
          <w:tcPr>
            <w:tcW w:w="985"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8</w:t>
            </w:r>
          </w:p>
        </w:tc>
        <w:tc>
          <w:tcPr>
            <w:tcW w:w="1107"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10</w:t>
            </w:r>
          </w:p>
        </w:tc>
        <w:tc>
          <w:tcPr>
            <w:tcW w:w="985"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10</w:t>
            </w:r>
          </w:p>
        </w:tc>
        <w:tc>
          <w:tcPr>
            <w:tcW w:w="1351"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ke</w:t>
            </w:r>
          </w:p>
        </w:tc>
        <w:tc>
          <w:tcPr>
            <w:tcW w:w="1107"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ke</w:t>
            </w:r>
          </w:p>
        </w:tc>
        <w:tc>
          <w:tcPr>
            <w:tcW w:w="1107"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15</w:t>
            </w:r>
          </w:p>
        </w:tc>
      </w:tr>
      <w:tr w:rsidR="00CC6BC1" w:rsidTr="00CC6BC1">
        <w:trPr>
          <w:trHeight w:val="250"/>
        </w:trPr>
        <w:tc>
          <w:tcPr>
            <w:tcW w:w="1230" w:type="dxa"/>
            <w:tcBorders>
              <w:top w:val="single" w:sz="4" w:space="0" w:color="auto"/>
              <w:left w:val="single" w:sz="4" w:space="0" w:color="auto"/>
              <w:bottom w:val="single" w:sz="4" w:space="0" w:color="auto"/>
              <w:right w:val="single" w:sz="4" w:space="0" w:color="auto"/>
            </w:tcBorders>
            <w:hideMark/>
          </w:tcPr>
          <w:p w:rsidR="00CC6BC1" w:rsidRDefault="00CC6BC1">
            <w:pPr>
              <w:jc w:val="center"/>
              <w:rPr>
                <w:b/>
                <w:bCs/>
              </w:rPr>
            </w:pPr>
            <w:r>
              <w:rPr>
                <w:b/>
                <w:bCs/>
              </w:rPr>
              <w:t>6</w:t>
            </w:r>
          </w:p>
        </w:tc>
        <w:tc>
          <w:tcPr>
            <w:tcW w:w="1230"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50-100</w:t>
            </w:r>
          </w:p>
        </w:tc>
        <w:tc>
          <w:tcPr>
            <w:tcW w:w="985"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10</w:t>
            </w:r>
          </w:p>
        </w:tc>
        <w:tc>
          <w:tcPr>
            <w:tcW w:w="1107"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15</w:t>
            </w:r>
          </w:p>
        </w:tc>
        <w:tc>
          <w:tcPr>
            <w:tcW w:w="985"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12</w:t>
            </w:r>
          </w:p>
        </w:tc>
        <w:tc>
          <w:tcPr>
            <w:tcW w:w="1351"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ke</w:t>
            </w:r>
          </w:p>
        </w:tc>
        <w:tc>
          <w:tcPr>
            <w:tcW w:w="1107"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ke</w:t>
            </w:r>
          </w:p>
        </w:tc>
        <w:tc>
          <w:tcPr>
            <w:tcW w:w="1107"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ke</w:t>
            </w:r>
          </w:p>
        </w:tc>
      </w:tr>
      <w:tr w:rsidR="00CC6BC1" w:rsidTr="00CC6BC1">
        <w:trPr>
          <w:trHeight w:val="250"/>
        </w:trPr>
        <w:tc>
          <w:tcPr>
            <w:tcW w:w="1230" w:type="dxa"/>
            <w:tcBorders>
              <w:top w:val="single" w:sz="4" w:space="0" w:color="auto"/>
              <w:left w:val="single" w:sz="4" w:space="0" w:color="auto"/>
              <w:bottom w:val="single" w:sz="4" w:space="0" w:color="auto"/>
              <w:right w:val="single" w:sz="4" w:space="0" w:color="auto"/>
            </w:tcBorders>
            <w:hideMark/>
          </w:tcPr>
          <w:p w:rsidR="00CC6BC1" w:rsidRDefault="00CC6BC1">
            <w:pPr>
              <w:jc w:val="center"/>
              <w:rPr>
                <w:b/>
                <w:bCs/>
              </w:rPr>
            </w:pPr>
            <w:r>
              <w:rPr>
                <w:b/>
                <w:bCs/>
              </w:rPr>
              <w:t>7</w:t>
            </w:r>
          </w:p>
        </w:tc>
        <w:tc>
          <w:tcPr>
            <w:tcW w:w="1230"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100-200</w:t>
            </w:r>
          </w:p>
        </w:tc>
        <w:tc>
          <w:tcPr>
            <w:tcW w:w="985"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15</w:t>
            </w:r>
          </w:p>
        </w:tc>
        <w:tc>
          <w:tcPr>
            <w:tcW w:w="1107"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ke</w:t>
            </w:r>
          </w:p>
        </w:tc>
        <w:tc>
          <w:tcPr>
            <w:tcW w:w="985"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ke</w:t>
            </w:r>
          </w:p>
        </w:tc>
        <w:tc>
          <w:tcPr>
            <w:tcW w:w="1351"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ke</w:t>
            </w:r>
          </w:p>
        </w:tc>
        <w:tc>
          <w:tcPr>
            <w:tcW w:w="1107"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ke</w:t>
            </w:r>
          </w:p>
        </w:tc>
        <w:tc>
          <w:tcPr>
            <w:tcW w:w="1107"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ke</w:t>
            </w:r>
          </w:p>
        </w:tc>
      </w:tr>
      <w:tr w:rsidR="00CC6BC1" w:rsidTr="00CC6BC1">
        <w:trPr>
          <w:trHeight w:val="250"/>
        </w:trPr>
        <w:tc>
          <w:tcPr>
            <w:tcW w:w="1230" w:type="dxa"/>
            <w:tcBorders>
              <w:top w:val="single" w:sz="4" w:space="0" w:color="auto"/>
              <w:left w:val="single" w:sz="4" w:space="0" w:color="auto"/>
              <w:bottom w:val="single" w:sz="4" w:space="0" w:color="auto"/>
              <w:right w:val="single" w:sz="4" w:space="0" w:color="auto"/>
            </w:tcBorders>
            <w:hideMark/>
          </w:tcPr>
          <w:p w:rsidR="00CC6BC1" w:rsidRDefault="00CC6BC1">
            <w:pPr>
              <w:jc w:val="center"/>
              <w:rPr>
                <w:b/>
                <w:bCs/>
              </w:rPr>
            </w:pPr>
            <w:r>
              <w:rPr>
                <w:b/>
                <w:bCs/>
              </w:rPr>
              <w:t>8</w:t>
            </w:r>
          </w:p>
        </w:tc>
        <w:tc>
          <w:tcPr>
            <w:tcW w:w="1230"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200 fölött</w:t>
            </w:r>
          </w:p>
        </w:tc>
        <w:tc>
          <w:tcPr>
            <w:tcW w:w="985"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ke</w:t>
            </w:r>
          </w:p>
        </w:tc>
        <w:tc>
          <w:tcPr>
            <w:tcW w:w="1107"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ke</w:t>
            </w:r>
          </w:p>
        </w:tc>
        <w:tc>
          <w:tcPr>
            <w:tcW w:w="985"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ke</w:t>
            </w:r>
          </w:p>
        </w:tc>
        <w:tc>
          <w:tcPr>
            <w:tcW w:w="1351"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ke</w:t>
            </w:r>
          </w:p>
        </w:tc>
        <w:tc>
          <w:tcPr>
            <w:tcW w:w="1107"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ke</w:t>
            </w:r>
          </w:p>
        </w:tc>
        <w:tc>
          <w:tcPr>
            <w:tcW w:w="1107"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ke</w:t>
            </w:r>
          </w:p>
        </w:tc>
      </w:tr>
    </w:tbl>
    <w:p w:rsidR="00CC6BC1" w:rsidRDefault="00CC6BC1" w:rsidP="00CC6BC1">
      <w:pPr>
        <w:jc w:val="both"/>
      </w:pPr>
    </w:p>
    <w:p w:rsidR="00CC6BC1" w:rsidRDefault="00CC6BC1" w:rsidP="00CC6BC1">
      <w:pPr>
        <w:jc w:val="both"/>
      </w:pPr>
      <w:r>
        <w:rPr>
          <w:b/>
        </w:rPr>
        <w:t>ke</w:t>
      </w:r>
      <w:r>
        <w:t>: külön engedély alapján ÁNTSZ, környezetvédelmi és állategészségügyi szakvélemény figyelembevételével</w:t>
      </w:r>
    </w:p>
    <w:p w:rsidR="00CC6BC1" w:rsidRDefault="00CC6BC1" w:rsidP="00CC6BC1">
      <w:pPr>
        <w:jc w:val="both"/>
      </w:pPr>
    </w:p>
    <w:p w:rsidR="00CC6BC1" w:rsidRDefault="00CC6BC1" w:rsidP="00CC6BC1">
      <w:pPr>
        <w:autoSpaceDE w:val="0"/>
        <w:autoSpaceDN w:val="0"/>
        <w:adjustRightInd w:val="0"/>
        <w:spacing w:before="120"/>
        <w:rPr>
          <w:szCs w:val="23"/>
        </w:rPr>
      </w:pPr>
      <w:r>
        <w:rPr>
          <w:sz w:val="23"/>
          <w:szCs w:val="23"/>
        </w:rPr>
        <w:t xml:space="preserve"> </w:t>
      </w:r>
      <w:r>
        <w:rPr>
          <w:szCs w:val="23"/>
        </w:rPr>
        <w:t>nagyhaszonállatnak minősül: szarvasmarha, ló, öszvér, bivaly, szamár</w:t>
      </w:r>
    </w:p>
    <w:p w:rsidR="00CC6BC1" w:rsidRDefault="00CC6BC1" w:rsidP="00CC6BC1">
      <w:pPr>
        <w:autoSpaceDE w:val="0"/>
        <w:autoSpaceDN w:val="0"/>
        <w:adjustRightInd w:val="0"/>
        <w:rPr>
          <w:szCs w:val="23"/>
        </w:rPr>
      </w:pPr>
      <w:r>
        <w:rPr>
          <w:i/>
          <w:iCs/>
          <w:szCs w:val="23"/>
        </w:rPr>
        <w:t xml:space="preserve"> </w:t>
      </w:r>
      <w:r>
        <w:rPr>
          <w:szCs w:val="23"/>
        </w:rPr>
        <w:t>kishaszonállatnak min</w:t>
      </w:r>
      <w:r>
        <w:rPr>
          <w:rFonts w:eastAsia="TTE17BAB68t00"/>
          <w:szCs w:val="23"/>
        </w:rPr>
        <w:t>ő</w:t>
      </w:r>
      <w:r>
        <w:rPr>
          <w:szCs w:val="23"/>
        </w:rPr>
        <w:t>sül: sertés, juh, kecske</w:t>
      </w:r>
    </w:p>
    <w:p w:rsidR="00CC6BC1" w:rsidRDefault="00CC6BC1" w:rsidP="00CC6BC1">
      <w:pPr>
        <w:autoSpaceDE w:val="0"/>
        <w:autoSpaceDN w:val="0"/>
        <w:adjustRightInd w:val="0"/>
        <w:rPr>
          <w:szCs w:val="23"/>
        </w:rPr>
      </w:pPr>
      <w:r>
        <w:rPr>
          <w:i/>
          <w:iCs/>
          <w:szCs w:val="23"/>
        </w:rPr>
        <w:t xml:space="preserve"> </w:t>
      </w:r>
      <w:r>
        <w:rPr>
          <w:szCs w:val="23"/>
        </w:rPr>
        <w:t>baromfinak minősül: házi, vadon élő</w:t>
      </w:r>
      <w:r>
        <w:rPr>
          <w:rFonts w:eastAsia="TTE17BAB68t00"/>
          <w:szCs w:val="23"/>
        </w:rPr>
        <w:t xml:space="preserve"> </w:t>
      </w:r>
      <w:r>
        <w:rPr>
          <w:szCs w:val="23"/>
        </w:rPr>
        <w:t>és tenyésztett vad szárnyas állat (tyúk, gyöngyös,</w:t>
      </w:r>
    </w:p>
    <w:p w:rsidR="00CC6BC1" w:rsidRDefault="00CC6BC1" w:rsidP="00CC6BC1">
      <w:pPr>
        <w:autoSpaceDE w:val="0"/>
        <w:autoSpaceDN w:val="0"/>
        <w:adjustRightInd w:val="0"/>
        <w:ind w:left="1418"/>
        <w:rPr>
          <w:szCs w:val="23"/>
        </w:rPr>
      </w:pPr>
      <w:r>
        <w:rPr>
          <w:szCs w:val="23"/>
        </w:rPr>
        <w:t>pulyka, lúd, kacsa, galamb, vadkacsa, fácán, fogoly, strucc és ezek rokon fajai)</w:t>
      </w:r>
    </w:p>
    <w:p w:rsidR="00CC6BC1" w:rsidRDefault="00CC6BC1" w:rsidP="00CC6BC1">
      <w:pPr>
        <w:autoSpaceDE w:val="0"/>
        <w:autoSpaceDN w:val="0"/>
        <w:adjustRightInd w:val="0"/>
        <w:rPr>
          <w:szCs w:val="23"/>
        </w:rPr>
      </w:pPr>
      <w:r>
        <w:rPr>
          <w:szCs w:val="23"/>
        </w:rPr>
        <w:t xml:space="preserve"> prémes állatnak min</w:t>
      </w:r>
      <w:r>
        <w:rPr>
          <w:rFonts w:eastAsia="TTE17BAB68t00"/>
          <w:szCs w:val="23"/>
        </w:rPr>
        <w:t>ő</w:t>
      </w:r>
      <w:r>
        <w:rPr>
          <w:szCs w:val="23"/>
        </w:rPr>
        <w:t>sül: házi-, mezei és üregi nyúl, tenyésztett és vadon él</w:t>
      </w:r>
      <w:r>
        <w:rPr>
          <w:rFonts w:eastAsia="TTE17BAB68t00"/>
          <w:szCs w:val="23"/>
        </w:rPr>
        <w:t xml:space="preserve">ő </w:t>
      </w:r>
      <w:r>
        <w:rPr>
          <w:szCs w:val="23"/>
        </w:rPr>
        <w:t>prémes</w:t>
      </w:r>
    </w:p>
    <w:p w:rsidR="00CC6BC1" w:rsidRDefault="00CC6BC1" w:rsidP="00CC6BC1">
      <w:pPr>
        <w:ind w:left="709" w:firstLine="709"/>
        <w:jc w:val="both"/>
      </w:pPr>
      <w:r>
        <w:rPr>
          <w:szCs w:val="23"/>
        </w:rPr>
        <w:t>állat (nutria, róka, nyérc, nyestkutya stb.)</w:t>
      </w:r>
      <w:r>
        <w:t xml:space="preserve"> </w:t>
      </w:r>
    </w:p>
    <w:p w:rsidR="00DA5E93" w:rsidRDefault="00DA5E93"/>
    <w:sectPr w:rsidR="00DA5E93" w:rsidSect="00DA5E9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TE17BAB68t00">
    <w:altName w:val="Arial Unicode MS"/>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1B6A36"/>
    <w:multiLevelType w:val="multilevel"/>
    <w:tmpl w:val="D7FA0C84"/>
    <w:lvl w:ilvl="0">
      <w:start w:val="1"/>
      <w:numFmt w:val="decimal"/>
      <w:lvlText w:val="%1"/>
      <w:lvlJc w:val="left"/>
      <w:pPr>
        <w:tabs>
          <w:tab w:val="num" w:pos="390"/>
        </w:tabs>
        <w:ind w:left="390" w:hanging="390"/>
      </w:pPr>
    </w:lvl>
    <w:lvl w:ilvl="1">
      <w:start w:val="1"/>
      <w:numFmt w:val="decimal"/>
      <w:lvlText w:val="%1.%2"/>
      <w:lvlJc w:val="left"/>
      <w:pPr>
        <w:tabs>
          <w:tab w:val="num" w:pos="390"/>
        </w:tabs>
        <w:ind w:left="390" w:hanging="390"/>
      </w:pPr>
    </w:lvl>
    <w:lvl w:ilvl="2">
      <w:start w:val="3"/>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num w:numId="1">
    <w:abstractNumId w:val="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C6BC1"/>
    <w:rsid w:val="00267C56"/>
    <w:rsid w:val="00452EF3"/>
    <w:rsid w:val="004B5F74"/>
    <w:rsid w:val="005212BB"/>
    <w:rsid w:val="006A21C7"/>
    <w:rsid w:val="00B20C53"/>
    <w:rsid w:val="00C304FA"/>
    <w:rsid w:val="00CC6BC1"/>
    <w:rsid w:val="00D1546E"/>
    <w:rsid w:val="00D579F5"/>
    <w:rsid w:val="00DA5E93"/>
    <w:rsid w:val="00DD632C"/>
    <w:rsid w:val="00EA4A74"/>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hu-H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CC6BC1"/>
    <w:pPr>
      <w:widowControl w:val="0"/>
      <w:snapToGrid w:val="0"/>
    </w:pPr>
    <w:rPr>
      <w:rFonts w:eastAsia="Times New Roman"/>
      <w:kern w:val="28"/>
      <w:sz w:val="20"/>
      <w:szCs w:val="20"/>
      <w:lang w:eastAsia="hu-HU"/>
    </w:rPr>
  </w:style>
  <w:style w:type="paragraph" w:styleId="Cmsor4">
    <w:name w:val="heading 4"/>
    <w:basedOn w:val="Norml"/>
    <w:next w:val="Norml"/>
    <w:link w:val="Cmsor4Char"/>
    <w:semiHidden/>
    <w:unhideWhenUsed/>
    <w:qFormat/>
    <w:rsid w:val="00CC6BC1"/>
    <w:pPr>
      <w:keepNext/>
      <w:widowControl/>
      <w:snapToGrid/>
      <w:outlineLvl w:val="3"/>
    </w:pPr>
    <w:rPr>
      <w:b/>
      <w:bCs/>
      <w:color w:val="000000"/>
      <w:kern w:val="0"/>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4Char">
    <w:name w:val="Címsor 4 Char"/>
    <w:basedOn w:val="Bekezdsalapbettpusa"/>
    <w:link w:val="Cmsor4"/>
    <w:semiHidden/>
    <w:rsid w:val="00CC6BC1"/>
    <w:rPr>
      <w:rFonts w:eastAsia="Times New Roman"/>
      <w:b/>
      <w:bCs/>
      <w:color w:val="000000"/>
      <w:sz w:val="26"/>
      <w:szCs w:val="26"/>
      <w:lang w:eastAsia="hu-HU"/>
    </w:rPr>
  </w:style>
  <w:style w:type="paragraph" w:styleId="Szvegtrzs2">
    <w:name w:val="Body Text 2"/>
    <w:basedOn w:val="Norml"/>
    <w:link w:val="Szvegtrzs2Char"/>
    <w:semiHidden/>
    <w:unhideWhenUsed/>
    <w:rsid w:val="00CC6BC1"/>
    <w:pPr>
      <w:spacing w:after="120" w:line="480" w:lineRule="auto"/>
    </w:pPr>
  </w:style>
  <w:style w:type="character" w:customStyle="1" w:styleId="Szvegtrzs2Char">
    <w:name w:val="Szövegtörzs 2 Char"/>
    <w:basedOn w:val="Bekezdsalapbettpusa"/>
    <w:link w:val="Szvegtrzs2"/>
    <w:semiHidden/>
    <w:rsid w:val="00CC6BC1"/>
    <w:rPr>
      <w:rFonts w:eastAsia="Times New Roman"/>
      <w:kern w:val="28"/>
      <w:sz w:val="20"/>
      <w:szCs w:val="20"/>
      <w:lang w:eastAsia="hu-HU"/>
    </w:rPr>
  </w:style>
</w:styles>
</file>

<file path=word/webSettings.xml><?xml version="1.0" encoding="utf-8"?>
<w:webSettings xmlns:r="http://schemas.openxmlformats.org/officeDocument/2006/relationships" xmlns:w="http://schemas.openxmlformats.org/wordprocessingml/2006/main">
  <w:divs>
    <w:div w:id="34690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1610</Characters>
  <Application>Microsoft Office Word</Application>
  <DocSecurity>0</DocSecurity>
  <Lines>13</Lines>
  <Paragraphs>3</Paragraphs>
  <ScaleCrop>false</ScaleCrop>
  <Company/>
  <LinksUpToDate>false</LinksUpToDate>
  <CharactersWithSpaces>1840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Szaboné G. Ilona</dc:creator>
  <cp:lastModifiedBy>Szaboné G. Ilona</cp:lastModifiedBy>
  <cp:revision>1</cp:revision>
  <dcterms:created xsi:type="dcterms:W3CDTF">2016-03-11T08:20:00Z</dcterms:created>
  <dcterms:modified xsi:type="dcterms:W3CDTF">2016-03-11T08:20:00Z</dcterms:modified>
</cp:coreProperties>
</file>