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bookmarkStart w:id="0" w:name="_GoBack"/>
      <w:bookmarkEnd w:id="0"/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1. melléklet az önkormányzat vagyonáról és a vagyon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gazdálkodás 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szabályairól szóló 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6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29.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Forgalomképtelen vagyon</w:t>
      </w:r>
    </w:p>
    <w:tbl>
      <w:tblPr>
        <w:tblW w:w="8897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"/>
        <w:gridCol w:w="1440"/>
        <w:gridCol w:w="2518"/>
        <w:gridCol w:w="2693"/>
        <w:gridCol w:w="1418"/>
      </w:tblGrid>
      <w:tr w:rsidR="000D5CB9" w:rsidRPr="000D5CB9" w:rsidTr="006C72F4"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Helyrajzi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Terület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(m2)</w:t>
            </w: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57</w:t>
            </w:r>
            <w:r w:rsidR="001705B6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</w:t>
            </w:r>
            <w:r w:rsidR="001705B6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62FDC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1705B6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175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Töltés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267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320/2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320/3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320/18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CB31A0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361/1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lastRenderedPageBreak/>
              <w:t>40.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1235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Vásártér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457EE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A52B6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087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093/3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Külterületi bányaút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094/2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Szántó, gyep, legelő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635F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Szántó, gyep, legelő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635F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Szántó, gyep, legelő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635F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4D5B0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Szántó, gyep, legelő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35F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635F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Temető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lastRenderedPageBreak/>
              <w:t>87.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330A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Árok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91/6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Közlekedési terület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Járda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Petőfi S. út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97.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Dózsa Gy út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98.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095/1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99.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Közút külterületi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100.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Vízmosás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762A1F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Vízhálózat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104.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105.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6C72F4"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106.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4D5B03" w:rsidRDefault="004D5B03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4D5B03" w:rsidRDefault="004D5B03">
      <w:pPr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lastRenderedPageBreak/>
        <w:t> 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2.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melléklet 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az önkormányzat vagyonáról és a</w:t>
      </w:r>
      <w:r w:rsidR="007C7E8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vagyon</w:t>
      </w:r>
      <w:r w:rsidR="007C7E8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gazdálkodás 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szabályairól szóló 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29.</w:t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br/>
      </w: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Korlátozottan forgalomképes vagyon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shd w:val="clear" w:color="auto" w:fill="FDEAB4"/>
          <w:lang w:eastAsia="hu-HU"/>
        </w:rPr>
        <w:t> </w:t>
      </w:r>
    </w:p>
    <w:tbl>
      <w:tblPr>
        <w:tblW w:w="8472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3404"/>
        <w:gridCol w:w="1983"/>
        <w:gridCol w:w="1701"/>
      </w:tblGrid>
      <w:tr w:rsidR="000D5CB9" w:rsidRPr="000D5CB9" w:rsidTr="00364D74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Helyrajzi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Utca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Terület</w:t>
            </w:r>
          </w:p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(m2)</w:t>
            </w: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  <w:r w:rsidR="00DE2961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273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364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Iskola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DE296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Petőfi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  <w:r w:rsidR="00EA7EA7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282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Kultúr</w:t>
            </w:r>
            <w:r w:rsidR="00DE2961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ház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Petőfi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364D74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 </w:t>
            </w:r>
            <w:r w:rsidR="00EA7EA7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469/1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Alkotmány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4D5B0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469</w:t>
            </w:r>
          </w:p>
        </w:tc>
        <w:tc>
          <w:tcPr>
            <w:tcW w:w="3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364D74" w:rsidP="00364D7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Közös Önkormányzati Hivatal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Alkotmány út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470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Orvosi rendelő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Dobó út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0D5CB9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0129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Ravatalozó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4D5B03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471/A/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Szolgálati lakás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EA7EA7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Dobó út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4D5B03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FD46F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258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FD46F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Sporttelep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4D5B03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FD46F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291</w:t>
            </w: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FD46F1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Emlékmű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  <w:tr w:rsidR="004D5B03" w:rsidRPr="000D5CB9" w:rsidTr="004D5B03">
        <w:tc>
          <w:tcPr>
            <w:tcW w:w="13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3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762A1F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Villanyhálózat</w:t>
            </w:r>
          </w:p>
        </w:tc>
        <w:tc>
          <w:tcPr>
            <w:tcW w:w="19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B03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tbl>
      <w:tblPr>
        <w:tblW w:w="0" w:type="dxa"/>
        <w:tblInd w:w="15" w:type="dxa"/>
        <w:shd w:val="clear" w:color="auto" w:fill="FDEAB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6"/>
        <w:gridCol w:w="2448"/>
      </w:tblGrid>
      <w:tr w:rsidR="000D5CB9" w:rsidRPr="000D5CB9" w:rsidTr="000D5CB9">
        <w:tc>
          <w:tcPr>
            <w:tcW w:w="46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b/>
                <w:bCs/>
                <w:color w:val="303030"/>
                <w:spacing w:val="15"/>
                <w:sz w:val="24"/>
                <w:szCs w:val="24"/>
                <w:lang w:eastAsia="hu-HU"/>
              </w:rPr>
              <w:t>Tulajdoni hányad</w:t>
            </w:r>
          </w:p>
        </w:tc>
      </w:tr>
      <w:tr w:rsidR="000D5CB9" w:rsidRPr="000D5CB9" w:rsidTr="000D5CB9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1E50A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 w:rsidRPr="000D5CB9"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 xml:space="preserve">Szennyvíz csatorna 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4D5B03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  <w:t>23%</w:t>
            </w:r>
          </w:p>
        </w:tc>
      </w:tr>
      <w:tr w:rsidR="000D5CB9" w:rsidRPr="000D5CB9" w:rsidTr="000D5CB9">
        <w:tc>
          <w:tcPr>
            <w:tcW w:w="46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5CB9" w:rsidRPr="000D5CB9" w:rsidRDefault="000D5CB9" w:rsidP="000D5CB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03030"/>
                <w:spacing w:val="15"/>
                <w:sz w:val="24"/>
                <w:szCs w:val="24"/>
                <w:lang w:eastAsia="hu-HU"/>
              </w:rPr>
            </w:pPr>
          </w:p>
        </w:tc>
      </w:tr>
    </w:tbl>
    <w:p w:rsidR="006C72F4" w:rsidRDefault="006C72F4" w:rsidP="000D5CB9">
      <w:pPr>
        <w:shd w:val="clear" w:color="auto" w:fill="FFFFFF" w:themeFill="background1"/>
        <w:spacing w:after="0" w:line="240" w:lineRule="auto"/>
        <w:ind w:left="1440" w:hanging="360"/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</w:p>
    <w:p w:rsidR="00063D6C" w:rsidRDefault="00063D6C">
      <w:pP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1E50AE" w:rsidP="007C7E8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lastRenderedPageBreak/>
        <w:t>3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.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melléklet az önkormányzat vagyonáról és a vagyon</w:t>
      </w:r>
      <w:r w:rsidR="00063D6C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gazdálkodás szabályairól szóló 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7/2013.(V. 29.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7C7E83" w:rsidRPr="000D5CB9" w:rsidRDefault="007C7E83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1.Törvény alapján 2013. január 1-től a Klebelsberg Intézményfenntartó Központ ingyenes vagyonkezelésbe adott ingatlan adatai:</w:t>
      </w:r>
    </w:p>
    <w:p w:rsidR="000D5CB9" w:rsidRDefault="000D5CB9" w:rsidP="001E50A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37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21 Felsőnyárád, Petőfi u. 15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. szám alatti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273.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hrsz. ingatlan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Nyárády</w:t>
      </w:r>
      <w:r w:rsidR="00EA7EA7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András Általános Iskola </w:t>
      </w:r>
      <w:r w:rsidR="00DC50B2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teljes</w:t>
      </w:r>
      <w:r w:rsidR="007C7E8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="00DC50B2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egészét</w:t>
      </w:r>
      <w:r w:rsidR="007C7E8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.</w:t>
      </w:r>
    </w:p>
    <w:p w:rsidR="007C7E83" w:rsidRDefault="007C7E83" w:rsidP="001E50A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7C7E83" w:rsidRPr="000D5CB9" w:rsidRDefault="007C7E83" w:rsidP="001E50AE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2. Törvény alapján 2013. január 1-től az állam -használati jogot a Borsod-Abaúj-Zemplén Megyei Kormányhivatal gyakorolja- ingyenes használatába adott ingatlan adatai: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37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21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Felsőnyárád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,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Alkotmány u. 8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. szám alatti </w:t>
      </w:r>
      <w:r w:rsidR="00DC50B2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468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hrsz., </w:t>
      </w:r>
      <w:r w:rsidR="00DC50B2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138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m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>2</w:t>
      </w:r>
      <w:r w:rsidR="007C7E8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nettó 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lapterületű ingatlanból </w:t>
      </w:r>
      <w:r w:rsidR="00DC50B2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10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m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>2</w:t>
      </w:r>
      <w:r w:rsidR="007C7E8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vertAlign w:val="superscript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ingatlanrész, - 1 db. irodai helyiség</w:t>
      </w:r>
      <w:r w:rsidR="001E50AE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rész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-járási ügysegéd elhelyezésére.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 </w:t>
      </w:r>
    </w:p>
    <w:p w:rsidR="007C7E83" w:rsidRDefault="007C7E83">
      <w:pP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br w:type="page"/>
      </w:r>
    </w:p>
    <w:p w:rsidR="000D5CB9" w:rsidRPr="000D5CB9" w:rsidRDefault="001E50AE" w:rsidP="007C7E83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lastRenderedPageBreak/>
        <w:t>4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.</w:t>
      </w:r>
      <w:r w:rsidR="007C7E83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melléklet az önkormányzat vagyonáról és a vagyongazdálkodás szabályairól szóló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 xml:space="preserve"> 7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/2013.(</w:t>
      </w:r>
      <w:r w:rsidR="0061061A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V. 29.</w:t>
      </w:r>
      <w:r w:rsidR="000D5CB9"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) önkormányzati rendelethez</w:t>
      </w:r>
    </w:p>
    <w:p w:rsidR="007C7E83" w:rsidRDefault="007C7E83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b/>
          <w:bCs/>
          <w:color w:val="303030"/>
          <w:spacing w:val="15"/>
          <w:sz w:val="24"/>
          <w:szCs w:val="24"/>
          <w:lang w:eastAsia="hu-HU"/>
        </w:rPr>
        <w:t>A versenyeztetés szabályai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1.</w:t>
      </w:r>
      <w:r w:rsidR="007C7E83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 </w:t>
      </w: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Nyilvános pályázattal kapcsolatos eljárást a hivatal folytatja le a képviselő-testület döntése alapján. A pályázat nyertese az, aki a képviselő-testület döntése alapján a kiírásban foglalt szempontok és az önkormányzat tulajdonosi érdekeinek összességében a legmegfelelőbb ajánlatot tette. A pályázati kiírás jogszerűségi szempontból történő véleményezéséről a jegyző vagy az önkormányzat felkérése (megbízása) alapján szakértő gondoskodik.</w:t>
      </w:r>
    </w:p>
    <w:p w:rsidR="000D5CB9" w:rsidRPr="000D5CB9" w:rsidRDefault="007C7E83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 xml:space="preserve">2. A nyilvános pályázatot a </w:t>
      </w:r>
      <w:r w:rsidR="000D5CB9"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hivatal hirdetőtábláján minden esetben meg kell hirdetni.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3. A pályázat leadására határnapot kell megjelölni. Az ajánlat benyújtására nyitva álló határidőt úgy kell meghatározni, hogy a felhívás közzétételének napja és a pályázatok benyújtására megjelölt határnap között a pályázók rendelkezésére álló határidő ne legyen kevesebb 5 naptári napnál.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4. A pályázati felhívásnak (ajánlatkérésnek) tartalmaznia kell (valamennyi feltételnek teljesülnie kell):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a) a pályázatot kiíró megnevezését, székhelyét, illetve ha pályázat lebonyolítására megbízás alapján kerül sor, az erre való utalást,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b) a pályázat célját, arra vonatkozó utalást, hogy a pályázó titkosan (a pályázó neve külön zárt borítékban szerepel) vagy név megjelölésével pályázhat,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c) a pályázat tárgyaként az értékesítendő, megvásárlásra kerülő, hasznosítandó vagyon (rész) megnevezését, – szükség szerint – forgalmi értékét és az értékesítéshez szükséges információkat,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d) az értékesítés, vásárlás, hasznosítás, vagyonkezelés szabályait és ezek műszaki, gazdasági, jogi feltételeit,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e) az ajánlatok benyújtásának helyét, módját, idejét, az elbírálás rendjét, az elbírálás módját,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f) az ajánlati kötöttség minimális időtartamát,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g) a pályázati eljárásra vonatkozó információszerzés helyét és idejét,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h) pályázati biztosíték esetén annak letételének idejét, módját, visszafizetésének szabályait,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i) a kiíró azon jogának fenntartását, hogy a pályázatot – akár indokolás nélkül is – eredménytelennek minősítse,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j) a vagyontárgy jellege szerint szükséges további információkat, az eljárás rendjét, döntésre jogosult megnevezése, az eredményhirdetés módját, helyét, várható idejét,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k) mindazon adatokat, amelyek szükségesek a megalapozott ajánlat készítéséhez.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l) önkormányzat érdekeit szolgáló garanciákra történő utalást,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m) az adott ingatlant, ingóságot érintő, harmadik személyre vonatkozó jogosultságot.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5. A pályázati felhívásban illetve a részletes pályázati kiírásban előírható, hogy az ajánlattevőnek ajánlata benyújtásakor szerződéstervezetet is csatolnia kell, vagy a megküldött szerződéstervezet elfogadásáról kell nyilatkoznia.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6. Ingatlan és ingó vagyon értékesítése esetén a pályázati felhívás mellett a kiíró döntése alapján készítendő részletes pályázati kiírásnak tartalmaznia kell még (valamennyi feltételnek teljesülnie kell):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a) nyilvántartott értéket vagy 3 hónapnál nem régebbi vagyonértékelést,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lastRenderedPageBreak/>
        <w:t>b) az ingatlan és ingó vagyon azonosítására vonatkozó adatokat, ingatlan tulajdoni lap másolatot (3 hónapnál nem régebbi),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c) a terület övezeti besorolására vonatkozó adatokat,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d) az érvényes településrendezési tervek (építési szabályzat és szabályozási terv) szerint a beépíthetőségre vagy a beépítés korlátozására vonatkozó szabályok ismertetését,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e) a megtekinthetőség idejét, módját.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7. Ingatlan és ingó vagyon értékesítését nem eredményező hasznosítása esetén a részletes pályázati kiírás tartalmazza az előbbi bekezdéseken túl (valamennyi feltételnek teljesülnie kell):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a) a lehetséges hasznosítás céljának, időtartamának megjelölését,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b) az ingatlan állapotának, felszereltségének ismertetését, a vagyonkezelő megnevezését,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c) a bérleti, használati díj mértékét,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d) a jogviszony megszűntekor az eredeti állapot helyreállítására vonatkozó kikötéseket, nyilvántartott értéket.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8. A kiíró a pályázati felhívásban a részletes pályázati kiírás átadását meghatározott mértékű térítési díj megfizetéséhez kötheti. A pályázó a pályázat eredményének közzétételéig köteles titokban tartani ajánlata tartalmát. A benyújtott pályázatokat legalább a pályázat lezárásáig titkosan kell kezelni.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9. A pályázó az ajánlatához a pályázati kiírásban meghatározott időpontig kötve van. A pályázó ajánlati kötöttsége akkor kezdődik, amikor az ajánlatok benyújtására nyitva álló határidő lejárt.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10. Az ajánlattevők ajánlataikat zárt borítékban legalább 2 példányban aláírva, személyesen vagy meghatalmazott útján kötelesek benyújtani. Az ajánlat 1 példányát minden oldalon aláírva “eredeti” megjelöléssel kell ellátni.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11. A határidőben beérkezett pályázatok felbontásán a kiíró képviselője, az ajánlattevők, illetve meghatalmazottjaik – valamint, ha a pályázati kiírás azt tartalmazza – a közjegyző vagy a bíráló bizottság vehet részt.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12. Az ajánlatok nyilvános bontásakor a jelenlévőkkel ismertetni kell az ajánlattevők nevét, székhelyét, az ajánlatok lényeges tartalmát azon adatok kivételével, melyek nyilvánosságra hozatalát az ajánlattevő megtiltotta. Az ajánlatok felbontásáról és ismertetéséről jegyzőkönyvet kell felvenni.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13. Érvénytelen az ajánlat, ha nem felel meg a pályázati felhívásban, a jogszabályokban foglalt feltételeknek.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14. Eredménytelen a pályázat, ha (legalább egy feltétel teljesül):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a) a kitűzött időpontig egyetlen ajánlat sem érkezett,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b) a beérkezett ajánlatok egyike sem felel meg a pályázati felhívás követelményeinek, vagy más, a pályázatra vonatkozó előírásoknak,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c) kétfordulós pályázat esetén a második fordulón egyetlen ajánlattevő sem jelent meg, illetve a második fordulóra meghívott egyetlen pályázó sem tett olyan értékelhető ajánlatot, amely megfelelt volna a pályázati kiírásban foglalt követelményeknek,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d) a kiíró valamely ajánlattevőnek a pályázat tisztaságához fűződő jogait megsértette, vagy valamely pályázó részére – a többi pályázó érdekeit sértő módon – előnyt biztosított,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e) a kiíró élt azon jogával, hogy új pályázat kiírását rendelje el.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15. A felek a megkötendő szerződés tartalmát a közzétett pályázati feltételek, illetve a pályázatot megnyert ajánlattevő ajánlata alapján alakítják ki.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lastRenderedPageBreak/>
        <w:t>16. A szerződésben szerepeltetni kell az önkormányzat érdekeit szolgáló kikötéseket, az esetleges biztosítékokat és mellékkötelezettségeket, továbbá lehetővé kell tenni a szerződés teljesítésének ellenőrizhetőségét és a nem vagy nem szerződésszerű teljesítés esetén alkalmazható szankciókat.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17. A szerződést a pályázat elbírálásától számított 30 naptári napon belül kell megkötni.</w:t>
      </w:r>
    </w:p>
    <w:p w:rsidR="000D5CB9" w:rsidRPr="000D5CB9" w:rsidRDefault="000D5CB9" w:rsidP="000D5CB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  <w:r w:rsidRPr="000D5CB9"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  <w:t>18. Ha a pályázat nyertesével a szerződés megkötése – a szerződéskötésre nyitva álló határidőben – meghiúsul, vagy a szerződés aláírása után a nyertes pályázó a szerződést nem vagy nem szerződésszerűen teljesíti és ezért az önkormányzat a szerződéstől eláll, vagy felmondja azt, úgy az önkormányzat jogosult a soron következő pályázóval – azonos feltételek mellett, a pályázati kiírás tartalma szerint – szerződést kötni, vagy új pályázatot kiírni.</w:t>
      </w:r>
    </w:p>
    <w:p w:rsidR="006C72F4" w:rsidRDefault="006C72F4" w:rsidP="000D5CB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303030"/>
          <w:spacing w:val="15"/>
          <w:sz w:val="24"/>
          <w:szCs w:val="24"/>
          <w:lang w:eastAsia="hu-HU"/>
        </w:rPr>
      </w:pPr>
    </w:p>
    <w:p w:rsidR="007C7E83" w:rsidRDefault="007C7E83">
      <w:pPr>
        <w:rPr>
          <w:rFonts w:ascii="Times New Roman" w:eastAsia="Times New Roman" w:hAnsi="Times New Roman" w:cs="Times New Roman"/>
          <w:b/>
          <w:color w:val="303030"/>
          <w:spacing w:val="15"/>
          <w:sz w:val="24"/>
          <w:szCs w:val="24"/>
          <w:lang w:eastAsia="hu-HU"/>
        </w:rPr>
      </w:pPr>
    </w:p>
    <w:sectPr w:rsidR="007C7E83" w:rsidSect="008A5E7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934" w:rsidRDefault="00511934" w:rsidP="000D5CB9">
      <w:pPr>
        <w:spacing w:after="0" w:line="240" w:lineRule="auto"/>
      </w:pPr>
      <w:r>
        <w:separator/>
      </w:r>
    </w:p>
  </w:endnote>
  <w:endnote w:type="continuationSeparator" w:id="0">
    <w:p w:rsidR="00511934" w:rsidRDefault="00511934" w:rsidP="000D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62703"/>
      <w:docPartObj>
        <w:docPartGallery w:val="Page Numbers (Bottom of Page)"/>
        <w:docPartUnique/>
      </w:docPartObj>
    </w:sdtPr>
    <w:sdtEndPr/>
    <w:sdtContent>
      <w:p w:rsidR="00DC50B2" w:rsidRDefault="003153A5">
        <w:pPr>
          <w:pStyle w:val="llb"/>
          <w:jc w:val="center"/>
        </w:pPr>
        <w:r w:rsidRPr="000D5CB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C50B2" w:rsidRPr="000D5CB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5CB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F0F42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D5CB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C50B2" w:rsidRDefault="00DC50B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934" w:rsidRDefault="00511934" w:rsidP="000D5CB9">
      <w:pPr>
        <w:spacing w:after="0" w:line="240" w:lineRule="auto"/>
      </w:pPr>
      <w:r>
        <w:separator/>
      </w:r>
    </w:p>
  </w:footnote>
  <w:footnote w:type="continuationSeparator" w:id="0">
    <w:p w:rsidR="00511934" w:rsidRDefault="00511934" w:rsidP="000D5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A4388"/>
    <w:multiLevelType w:val="hybridMultilevel"/>
    <w:tmpl w:val="EE806E94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52594"/>
    <w:multiLevelType w:val="hybridMultilevel"/>
    <w:tmpl w:val="BDFA8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F1A79"/>
    <w:multiLevelType w:val="hybridMultilevel"/>
    <w:tmpl w:val="A0926B2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288D"/>
    <w:multiLevelType w:val="hybridMultilevel"/>
    <w:tmpl w:val="EB26AC6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3237"/>
    <w:multiLevelType w:val="hybridMultilevel"/>
    <w:tmpl w:val="D5886F70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0A9A9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000E4"/>
    <w:multiLevelType w:val="hybridMultilevel"/>
    <w:tmpl w:val="9A3A113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F235A"/>
    <w:multiLevelType w:val="hybridMultilevel"/>
    <w:tmpl w:val="E11A5F6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E7FBD"/>
    <w:multiLevelType w:val="hybridMultilevel"/>
    <w:tmpl w:val="7C3217CE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F566C0"/>
    <w:multiLevelType w:val="hybridMultilevel"/>
    <w:tmpl w:val="25BAC1D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94529"/>
    <w:multiLevelType w:val="hybridMultilevel"/>
    <w:tmpl w:val="1116D05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401FE"/>
    <w:multiLevelType w:val="hybridMultilevel"/>
    <w:tmpl w:val="3F180866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6A6C1E"/>
    <w:multiLevelType w:val="hybridMultilevel"/>
    <w:tmpl w:val="D88AB7A6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4DA"/>
    <w:multiLevelType w:val="hybridMultilevel"/>
    <w:tmpl w:val="F14A2D38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631EC"/>
    <w:multiLevelType w:val="hybridMultilevel"/>
    <w:tmpl w:val="C52E307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D12EB"/>
    <w:multiLevelType w:val="hybridMultilevel"/>
    <w:tmpl w:val="CD908A0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770C1"/>
    <w:multiLevelType w:val="hybridMultilevel"/>
    <w:tmpl w:val="A12A5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101EE5"/>
    <w:multiLevelType w:val="hybridMultilevel"/>
    <w:tmpl w:val="F38E318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06319"/>
    <w:multiLevelType w:val="hybridMultilevel"/>
    <w:tmpl w:val="05586A9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2EC0CD8E">
      <w:start w:val="1"/>
      <w:numFmt w:val="decimal"/>
      <w:lvlText w:val="(%2)"/>
      <w:lvlJc w:val="left"/>
      <w:pPr>
        <w:ind w:left="1515" w:hanging="43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6D6129"/>
    <w:multiLevelType w:val="hybridMultilevel"/>
    <w:tmpl w:val="8BFCCF7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54311"/>
    <w:multiLevelType w:val="hybridMultilevel"/>
    <w:tmpl w:val="D70A473A"/>
    <w:lvl w:ilvl="0" w:tplc="CEE4B6EA">
      <w:start w:val="1"/>
      <w:numFmt w:val="decimal"/>
      <w:lvlText w:val="(%1)"/>
      <w:lvlJc w:val="left"/>
      <w:pPr>
        <w:ind w:left="990" w:hanging="63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6433E7"/>
    <w:multiLevelType w:val="hybridMultilevel"/>
    <w:tmpl w:val="48AEBD38"/>
    <w:lvl w:ilvl="0" w:tplc="4B42A21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E7328"/>
    <w:multiLevelType w:val="hybridMultilevel"/>
    <w:tmpl w:val="21785124"/>
    <w:lvl w:ilvl="0" w:tplc="2EC0CD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AD47E1"/>
    <w:multiLevelType w:val="hybridMultilevel"/>
    <w:tmpl w:val="964C78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20"/>
  </w:num>
  <w:num w:numId="5">
    <w:abstractNumId w:val="17"/>
  </w:num>
  <w:num w:numId="6">
    <w:abstractNumId w:val="3"/>
  </w:num>
  <w:num w:numId="7">
    <w:abstractNumId w:val="21"/>
  </w:num>
  <w:num w:numId="8">
    <w:abstractNumId w:val="19"/>
  </w:num>
  <w:num w:numId="9">
    <w:abstractNumId w:val="14"/>
  </w:num>
  <w:num w:numId="10">
    <w:abstractNumId w:val="1"/>
  </w:num>
  <w:num w:numId="11">
    <w:abstractNumId w:val="18"/>
  </w:num>
  <w:num w:numId="12">
    <w:abstractNumId w:val="12"/>
  </w:num>
  <w:num w:numId="13">
    <w:abstractNumId w:val="2"/>
  </w:num>
  <w:num w:numId="14">
    <w:abstractNumId w:val="11"/>
  </w:num>
  <w:num w:numId="15">
    <w:abstractNumId w:val="4"/>
  </w:num>
  <w:num w:numId="16">
    <w:abstractNumId w:val="10"/>
  </w:num>
  <w:num w:numId="17">
    <w:abstractNumId w:val="16"/>
  </w:num>
  <w:num w:numId="18">
    <w:abstractNumId w:val="7"/>
  </w:num>
  <w:num w:numId="19">
    <w:abstractNumId w:val="0"/>
  </w:num>
  <w:num w:numId="20">
    <w:abstractNumId w:val="5"/>
  </w:num>
  <w:num w:numId="21">
    <w:abstractNumId w:val="9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CB9"/>
    <w:rsid w:val="00063D6C"/>
    <w:rsid w:val="000856C9"/>
    <w:rsid w:val="000D5CB9"/>
    <w:rsid w:val="001705B6"/>
    <w:rsid w:val="00173A05"/>
    <w:rsid w:val="001C465B"/>
    <w:rsid w:val="001E50AE"/>
    <w:rsid w:val="00251102"/>
    <w:rsid w:val="003153A5"/>
    <w:rsid w:val="003330A1"/>
    <w:rsid w:val="00364B13"/>
    <w:rsid w:val="00364D74"/>
    <w:rsid w:val="00462FDC"/>
    <w:rsid w:val="004854AC"/>
    <w:rsid w:val="004D5B03"/>
    <w:rsid w:val="004F0F42"/>
    <w:rsid w:val="00511934"/>
    <w:rsid w:val="0061061A"/>
    <w:rsid w:val="006322E2"/>
    <w:rsid w:val="00635FB9"/>
    <w:rsid w:val="00693470"/>
    <w:rsid w:val="006A6636"/>
    <w:rsid w:val="006C72F4"/>
    <w:rsid w:val="006F536F"/>
    <w:rsid w:val="00762A1F"/>
    <w:rsid w:val="007C638E"/>
    <w:rsid w:val="007C7E83"/>
    <w:rsid w:val="00806925"/>
    <w:rsid w:val="008A5E78"/>
    <w:rsid w:val="00902629"/>
    <w:rsid w:val="00985B81"/>
    <w:rsid w:val="00A1759A"/>
    <w:rsid w:val="00A457EE"/>
    <w:rsid w:val="00A52B67"/>
    <w:rsid w:val="00BE282E"/>
    <w:rsid w:val="00CB31A0"/>
    <w:rsid w:val="00DC50B2"/>
    <w:rsid w:val="00DE2961"/>
    <w:rsid w:val="00EA7EA7"/>
    <w:rsid w:val="00EE6F7C"/>
    <w:rsid w:val="00F5631C"/>
    <w:rsid w:val="00FA4815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CF256F-6610-4330-8494-2A4D11E2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A5E7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0D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0D5CB9"/>
  </w:style>
  <w:style w:type="paragraph" w:styleId="llb">
    <w:name w:val="footer"/>
    <w:basedOn w:val="Norml"/>
    <w:link w:val="llbChar"/>
    <w:uiPriority w:val="99"/>
    <w:unhideWhenUsed/>
    <w:rsid w:val="000D5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D5CB9"/>
  </w:style>
  <w:style w:type="paragraph" w:styleId="Listaszerbekezds">
    <w:name w:val="List Paragraph"/>
    <w:basedOn w:val="Norml"/>
    <w:uiPriority w:val="34"/>
    <w:qFormat/>
    <w:rsid w:val="004D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C7EC90-C232-4E6B-936A-B4424B804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Windows-felhasználó</cp:lastModifiedBy>
  <cp:revision>4</cp:revision>
  <cp:lastPrinted>2013-06-04T12:40:00Z</cp:lastPrinted>
  <dcterms:created xsi:type="dcterms:W3CDTF">2013-06-07T07:46:00Z</dcterms:created>
  <dcterms:modified xsi:type="dcterms:W3CDTF">2019-06-19T10:47:00Z</dcterms:modified>
</cp:coreProperties>
</file>