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7D3" w:rsidRPr="006008C9" w:rsidRDefault="007757D3" w:rsidP="007757D3">
      <w:pPr>
        <w:spacing w:after="0" w:line="240" w:lineRule="auto"/>
        <w:jc w:val="right"/>
        <w:rPr>
          <w:rFonts w:ascii="Book Antiqua" w:hAnsi="Book Antiqua"/>
          <w:i/>
          <w:sz w:val="24"/>
          <w:szCs w:val="24"/>
        </w:rPr>
      </w:pPr>
      <w:r w:rsidRPr="006008C9">
        <w:rPr>
          <w:rFonts w:ascii="Book Antiqua" w:hAnsi="Book Antiqua"/>
          <w:i/>
          <w:sz w:val="24"/>
          <w:szCs w:val="24"/>
        </w:rPr>
        <w:t xml:space="preserve">3. melléklet a </w:t>
      </w:r>
      <w:r>
        <w:rPr>
          <w:rFonts w:ascii="Book Antiqua" w:hAnsi="Book Antiqua"/>
          <w:i/>
          <w:sz w:val="24"/>
          <w:szCs w:val="24"/>
        </w:rPr>
        <w:t>16</w:t>
      </w:r>
      <w:r w:rsidRPr="006008C9">
        <w:rPr>
          <w:rFonts w:ascii="Book Antiqua" w:hAnsi="Book Antiqua"/>
          <w:i/>
          <w:sz w:val="24"/>
          <w:szCs w:val="24"/>
        </w:rPr>
        <w:t>/2017</w:t>
      </w:r>
      <w:r>
        <w:rPr>
          <w:rFonts w:ascii="Book Antiqua" w:hAnsi="Book Antiqua"/>
          <w:i/>
          <w:sz w:val="24"/>
          <w:szCs w:val="24"/>
        </w:rPr>
        <w:t>.</w:t>
      </w:r>
      <w:r w:rsidRPr="006008C9">
        <w:rPr>
          <w:rFonts w:ascii="Book Antiqua" w:hAnsi="Book Antiqua"/>
          <w:i/>
          <w:sz w:val="24"/>
          <w:szCs w:val="24"/>
        </w:rPr>
        <w:t xml:space="preserve"> (</w:t>
      </w:r>
      <w:r>
        <w:rPr>
          <w:rFonts w:ascii="Book Antiqua" w:hAnsi="Book Antiqua"/>
          <w:i/>
          <w:sz w:val="24"/>
          <w:szCs w:val="24"/>
        </w:rPr>
        <w:t>XII.21.</w:t>
      </w:r>
      <w:bookmarkStart w:id="0" w:name="_GoBack"/>
      <w:bookmarkEnd w:id="0"/>
      <w:r w:rsidRPr="006008C9">
        <w:rPr>
          <w:rFonts w:ascii="Book Antiqua" w:hAnsi="Book Antiqua"/>
          <w:i/>
          <w:sz w:val="24"/>
          <w:szCs w:val="24"/>
        </w:rPr>
        <w:t>) Önkormányzati rendelethez</w:t>
      </w:r>
    </w:p>
    <w:p w:rsidR="007757D3" w:rsidRDefault="007757D3" w:rsidP="007757D3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7757D3" w:rsidRPr="006008C9" w:rsidRDefault="007757D3" w:rsidP="007757D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6008C9">
        <w:rPr>
          <w:rFonts w:ascii="Book Antiqua" w:hAnsi="Book Antiqua"/>
          <w:b/>
          <w:sz w:val="24"/>
          <w:szCs w:val="24"/>
        </w:rPr>
        <w:t>A helyi védelem alá helyezett egyedi örökségi értékek, elemek</w:t>
      </w:r>
    </w:p>
    <w:p w:rsidR="007757D3" w:rsidRPr="00515645" w:rsidRDefault="007757D3" w:rsidP="007757D3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tbl>
      <w:tblPr>
        <w:tblStyle w:val="Rcsostblzat"/>
        <w:tblpPr w:leftFromText="141" w:rightFromText="141" w:vertAnchor="page" w:horzAnchor="margin" w:tblpY="2551"/>
        <w:tblW w:w="9351" w:type="dxa"/>
        <w:tblLook w:val="04A0" w:firstRow="1" w:lastRow="0" w:firstColumn="1" w:lastColumn="0" w:noHBand="0" w:noVBand="1"/>
      </w:tblPr>
      <w:tblGrid>
        <w:gridCol w:w="695"/>
        <w:gridCol w:w="2710"/>
        <w:gridCol w:w="2690"/>
        <w:gridCol w:w="3256"/>
      </w:tblGrid>
      <w:tr w:rsidR="007757D3" w:rsidRPr="00515645" w:rsidTr="000D31A2">
        <w:tc>
          <w:tcPr>
            <w:tcW w:w="695" w:type="dxa"/>
          </w:tcPr>
          <w:p w:rsidR="007757D3" w:rsidRPr="00515645" w:rsidRDefault="007757D3" w:rsidP="000D31A2">
            <w:pPr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515645">
              <w:rPr>
                <w:rFonts w:ascii="Book Antiqua" w:hAnsi="Book Antiqua"/>
                <w:sz w:val="24"/>
                <w:szCs w:val="24"/>
              </w:rPr>
              <w:t>Ssz.</w:t>
            </w:r>
          </w:p>
        </w:tc>
        <w:tc>
          <w:tcPr>
            <w:tcW w:w="2710" w:type="dxa"/>
          </w:tcPr>
          <w:p w:rsidR="007757D3" w:rsidRPr="00515645" w:rsidRDefault="007757D3" w:rsidP="000D31A2">
            <w:pPr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515645">
              <w:rPr>
                <w:rFonts w:ascii="Book Antiqua" w:hAnsi="Book Antiqua"/>
                <w:sz w:val="24"/>
                <w:szCs w:val="24"/>
              </w:rPr>
              <w:t>Megnevezés, a védelem típusa</w:t>
            </w:r>
          </w:p>
        </w:tc>
        <w:tc>
          <w:tcPr>
            <w:tcW w:w="2690" w:type="dxa"/>
          </w:tcPr>
          <w:p w:rsidR="007757D3" w:rsidRPr="00515645" w:rsidRDefault="007757D3" w:rsidP="000D31A2">
            <w:pPr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515645">
              <w:rPr>
                <w:rFonts w:ascii="Book Antiqua" w:hAnsi="Book Antiqua"/>
                <w:sz w:val="24"/>
                <w:szCs w:val="24"/>
              </w:rPr>
              <w:t>Cím, hrsz.</w:t>
            </w:r>
          </w:p>
        </w:tc>
        <w:tc>
          <w:tcPr>
            <w:tcW w:w="3256" w:type="dxa"/>
          </w:tcPr>
          <w:p w:rsidR="007757D3" w:rsidRPr="00515645" w:rsidRDefault="007757D3" w:rsidP="000D31A2">
            <w:pPr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515645">
              <w:rPr>
                <w:rFonts w:ascii="Book Antiqua" w:hAnsi="Book Antiqua"/>
                <w:sz w:val="24"/>
                <w:szCs w:val="24"/>
              </w:rPr>
              <w:t>Leírás</w:t>
            </w:r>
          </w:p>
        </w:tc>
      </w:tr>
      <w:tr w:rsidR="007757D3" w:rsidRPr="00515645" w:rsidTr="000D31A2">
        <w:trPr>
          <w:trHeight w:val="5067"/>
        </w:trPr>
        <w:tc>
          <w:tcPr>
            <w:tcW w:w="695" w:type="dxa"/>
          </w:tcPr>
          <w:p w:rsidR="007757D3" w:rsidRPr="00515645" w:rsidRDefault="007757D3" w:rsidP="000D31A2">
            <w:pPr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515645">
              <w:rPr>
                <w:rFonts w:ascii="Book Antiqua" w:hAnsi="Book Antiqua"/>
                <w:sz w:val="24"/>
                <w:szCs w:val="24"/>
              </w:rPr>
              <w:t>1.</w:t>
            </w:r>
          </w:p>
        </w:tc>
        <w:tc>
          <w:tcPr>
            <w:tcW w:w="2710" w:type="dxa"/>
          </w:tcPr>
          <w:p w:rsidR="007757D3" w:rsidRPr="00515645" w:rsidRDefault="007757D3" w:rsidP="000D31A2">
            <w:pPr>
              <w:tabs>
                <w:tab w:val="left" w:leader="dot" w:pos="2880"/>
                <w:tab w:val="right" w:leader="dot" w:pos="9216"/>
              </w:tabs>
              <w:spacing w:line="240" w:lineRule="auto"/>
              <w:jc w:val="both"/>
              <w:rPr>
                <w:rFonts w:ascii="Book Antiqua" w:hAnsi="Book Antiqua"/>
                <w:spacing w:val="6"/>
                <w:sz w:val="24"/>
                <w:szCs w:val="24"/>
              </w:rPr>
            </w:pPr>
            <w:r w:rsidRPr="00515645">
              <w:rPr>
                <w:rFonts w:ascii="Book Antiqua" w:hAnsi="Book Antiqua"/>
                <w:spacing w:val="6"/>
                <w:sz w:val="24"/>
                <w:szCs w:val="24"/>
              </w:rPr>
              <w:t xml:space="preserve">A Dégenfeld kastély parkja helyi jelentőségű védett természeti terület jellege: erdős park, kiterjedése </w:t>
            </w:r>
            <w:r w:rsidRPr="00515645">
              <w:rPr>
                <w:rFonts w:ascii="Book Antiqua" w:hAnsi="Book Antiqua"/>
                <w:sz w:val="24"/>
                <w:szCs w:val="24"/>
              </w:rPr>
              <w:t xml:space="preserve">7,8317 </w:t>
            </w:r>
            <w:r w:rsidRPr="00515645">
              <w:rPr>
                <w:rFonts w:ascii="Book Antiqua" w:hAnsi="Book Antiqua"/>
                <w:spacing w:val="6"/>
                <w:sz w:val="24"/>
                <w:szCs w:val="24"/>
              </w:rPr>
              <w:t xml:space="preserve">ha, </w:t>
            </w:r>
          </w:p>
          <w:p w:rsidR="007757D3" w:rsidRPr="00515645" w:rsidRDefault="007757D3" w:rsidP="000D31A2">
            <w:pPr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90" w:type="dxa"/>
          </w:tcPr>
          <w:p w:rsidR="007757D3" w:rsidRPr="00515645" w:rsidRDefault="007757D3" w:rsidP="000D31A2">
            <w:pPr>
              <w:tabs>
                <w:tab w:val="left" w:leader="dot" w:pos="2880"/>
                <w:tab w:val="right" w:leader="dot" w:pos="9216"/>
              </w:tabs>
              <w:jc w:val="both"/>
              <w:rPr>
                <w:rFonts w:ascii="Book Antiqua" w:hAnsi="Book Antiqua"/>
                <w:spacing w:val="6"/>
                <w:sz w:val="24"/>
                <w:szCs w:val="24"/>
              </w:rPr>
            </w:pPr>
            <w:r w:rsidRPr="00515645">
              <w:rPr>
                <w:rFonts w:ascii="Book Antiqua" w:hAnsi="Book Antiqua"/>
                <w:spacing w:val="6"/>
                <w:sz w:val="24"/>
                <w:szCs w:val="24"/>
              </w:rPr>
              <w:t xml:space="preserve">ingatlannyilvántartási helyrajzi száma: </w:t>
            </w:r>
            <w:r w:rsidRPr="00515645">
              <w:rPr>
                <w:rFonts w:ascii="Book Antiqua" w:hAnsi="Book Antiqua"/>
                <w:sz w:val="24"/>
                <w:szCs w:val="24"/>
              </w:rPr>
              <w:t xml:space="preserve">826/7. </w:t>
            </w:r>
          </w:p>
          <w:p w:rsidR="007757D3" w:rsidRPr="00515645" w:rsidRDefault="007757D3" w:rsidP="000D31A2">
            <w:pPr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256" w:type="dxa"/>
          </w:tcPr>
          <w:p w:rsidR="007757D3" w:rsidRPr="00515645" w:rsidRDefault="007757D3" w:rsidP="000D31A2">
            <w:pPr>
              <w:tabs>
                <w:tab w:val="right" w:leader="dot" w:pos="9216"/>
              </w:tabs>
              <w:spacing w:line="240" w:lineRule="auto"/>
              <w:ind w:left="28"/>
              <w:jc w:val="both"/>
              <w:rPr>
                <w:rFonts w:ascii="Book Antiqua" w:hAnsi="Book Antiqua"/>
                <w:spacing w:val="6"/>
                <w:sz w:val="24"/>
                <w:szCs w:val="24"/>
              </w:rPr>
            </w:pPr>
            <w:r w:rsidRPr="00515645">
              <w:rPr>
                <w:rFonts w:ascii="Book Antiqua" w:hAnsi="Book Antiqua"/>
                <w:spacing w:val="6"/>
                <w:sz w:val="24"/>
                <w:szCs w:val="24"/>
              </w:rPr>
              <w:t>A park nagy részét idős, nagyméretű fák alkotják. Különösen értékesek a kocsányostölgy-matuzsálemek, terebélyes platánok és vasfák, olasznyár, nemesnyár, juharok és ezüstlevelű hársak, a cserjék közül a csíkos kecskerágó, mogyoró, fagyal, gyöngycserje, sóskababolya. A védettség fenntartásának indoka és célja a kert botanikai és növényföldrajzi értékének védelme és fenntartása.</w:t>
            </w:r>
          </w:p>
          <w:p w:rsidR="007757D3" w:rsidRPr="00515645" w:rsidRDefault="007757D3" w:rsidP="000D31A2">
            <w:pPr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757D3" w:rsidRPr="00515645" w:rsidTr="000D31A2">
        <w:trPr>
          <w:trHeight w:val="703"/>
        </w:trPr>
        <w:tc>
          <w:tcPr>
            <w:tcW w:w="695" w:type="dxa"/>
          </w:tcPr>
          <w:p w:rsidR="007757D3" w:rsidRPr="00515645" w:rsidRDefault="007757D3" w:rsidP="000D31A2">
            <w:pPr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515645">
              <w:rPr>
                <w:rFonts w:ascii="Book Antiqua" w:hAnsi="Book Antiqua"/>
                <w:sz w:val="24"/>
                <w:szCs w:val="24"/>
              </w:rPr>
              <w:t>2.</w:t>
            </w:r>
          </w:p>
        </w:tc>
        <w:tc>
          <w:tcPr>
            <w:tcW w:w="2710" w:type="dxa"/>
          </w:tcPr>
          <w:p w:rsidR="007757D3" w:rsidRPr="00515645" w:rsidRDefault="007757D3" w:rsidP="000D31A2">
            <w:pPr>
              <w:pStyle w:val="Style2"/>
              <w:widowControl/>
              <w:rPr>
                <w:rFonts w:ascii="Book Antiqua" w:hAnsi="Book Antiqua"/>
                <w:spacing w:val="6"/>
                <w:szCs w:val="24"/>
              </w:rPr>
            </w:pPr>
            <w:r w:rsidRPr="00515645">
              <w:rPr>
                <w:rFonts w:ascii="Book Antiqua" w:hAnsi="Book Antiqua"/>
                <w:snapToGrid/>
                <w:spacing w:val="6"/>
                <w:szCs w:val="24"/>
              </w:rPr>
              <w:t xml:space="preserve">Angolkert (Beloiannisz-kert) helyi jelentőségű védett természeti terület </w:t>
            </w:r>
            <w:r w:rsidRPr="00515645">
              <w:rPr>
                <w:rFonts w:ascii="Book Antiqua" w:hAnsi="Book Antiqua"/>
                <w:spacing w:val="6"/>
                <w:szCs w:val="24"/>
              </w:rPr>
              <w:t xml:space="preserve">jellege: erdő terület, kiterjedése 131,21 ha, </w:t>
            </w:r>
          </w:p>
          <w:p w:rsidR="007757D3" w:rsidRPr="00515645" w:rsidRDefault="007757D3" w:rsidP="000D31A2">
            <w:pPr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90" w:type="dxa"/>
          </w:tcPr>
          <w:p w:rsidR="007757D3" w:rsidRPr="00515645" w:rsidRDefault="007757D3" w:rsidP="000D31A2">
            <w:pPr>
              <w:pStyle w:val="Style2"/>
              <w:widowControl/>
              <w:rPr>
                <w:rFonts w:ascii="Book Antiqua" w:hAnsi="Book Antiqua"/>
                <w:spacing w:val="6"/>
                <w:szCs w:val="24"/>
              </w:rPr>
            </w:pPr>
            <w:r w:rsidRPr="00515645">
              <w:rPr>
                <w:rFonts w:ascii="Book Antiqua" w:hAnsi="Book Antiqua"/>
                <w:snapToGrid/>
                <w:spacing w:val="6"/>
                <w:szCs w:val="24"/>
              </w:rPr>
              <w:t xml:space="preserve">Az </w:t>
            </w:r>
            <w:r w:rsidRPr="00515645">
              <w:rPr>
                <w:rFonts w:ascii="Book Antiqua" w:hAnsi="Book Antiqua"/>
                <w:spacing w:val="6"/>
                <w:szCs w:val="24"/>
              </w:rPr>
              <w:t>ingatlan nyilvántartási helyrajzi számai: 014; 018; 019/1; 021/1; 024; 025; 027; 028; 029/1; 029/2; 029/3; 029/4; 029/6; 029/7; 041; 043; 045; 046; 015; 017; 0209; 023; 022; 020, 019/2; 021/2; 026; 030; 031; 032; 042; 044;</w:t>
            </w:r>
            <w:r w:rsidRPr="00515645">
              <w:rPr>
                <w:rFonts w:ascii="Book Antiqua" w:hAnsi="Book Antiqua"/>
                <w:b/>
                <w:spacing w:val="6"/>
                <w:szCs w:val="24"/>
              </w:rPr>
              <w:t xml:space="preserve"> </w:t>
            </w:r>
          </w:p>
          <w:p w:rsidR="007757D3" w:rsidRPr="00515645" w:rsidRDefault="007757D3" w:rsidP="000D31A2">
            <w:pPr>
              <w:spacing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256" w:type="dxa"/>
          </w:tcPr>
          <w:p w:rsidR="007757D3" w:rsidRPr="00515645" w:rsidRDefault="007757D3" w:rsidP="000D31A2">
            <w:pPr>
              <w:spacing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515645">
              <w:rPr>
                <w:rFonts w:ascii="Book Antiqua" w:hAnsi="Book Antiqua"/>
                <w:sz w:val="24"/>
                <w:szCs w:val="24"/>
              </w:rPr>
              <w:t>A Nyírség változatosan sík és buckás homokján álló erdőterület, mely mintaszerű képét mutatja a homoki erdőtelepítésnek. Az erdő faállományának fafajai: amerikai dió, magasköris, celtis, vöröstölgy, platán, erdei feketefenyő, douglas-sima és néhány jegesfenyő. Az állomány kora nagy részben 80-100 év közötti. A védelem célja az erdő és kertgazdasági szempontból rendkívüli értékű faállományának védelme és fenntartása.</w:t>
            </w:r>
          </w:p>
        </w:tc>
      </w:tr>
    </w:tbl>
    <w:p w:rsidR="007757D3" w:rsidRPr="00515645" w:rsidRDefault="007757D3" w:rsidP="007757D3">
      <w:pPr>
        <w:spacing w:after="0" w:line="240" w:lineRule="auto"/>
        <w:jc w:val="right"/>
        <w:rPr>
          <w:rFonts w:ascii="Book Antiqua" w:hAnsi="Book Antiqua"/>
          <w:i/>
          <w:sz w:val="24"/>
          <w:szCs w:val="24"/>
        </w:rPr>
      </w:pPr>
    </w:p>
    <w:p w:rsidR="00FA1D40" w:rsidRDefault="00FA1D40" w:rsidP="007757D3">
      <w:pPr>
        <w:spacing w:after="0" w:line="240" w:lineRule="auto"/>
        <w:jc w:val="right"/>
      </w:pPr>
    </w:p>
    <w:sectPr w:rsidR="00FA1D40" w:rsidSect="00E365DB">
      <w:pgSz w:w="11905" w:h="16837" w:code="9"/>
      <w:pgMar w:top="1416" w:right="1418" w:bottom="1417" w:left="1418" w:header="709" w:footer="709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7D3"/>
    <w:rsid w:val="007757D3"/>
    <w:rsid w:val="00FA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BFDD8-3E73-4EAA-BEEF-DA4E743B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57D3"/>
    <w:pPr>
      <w:spacing w:line="256" w:lineRule="auto"/>
    </w:pPr>
    <w:rPr>
      <w:rFonts w:ascii="Calibri" w:eastAsia="Times New Roman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757D3"/>
    <w:pPr>
      <w:spacing w:after="0" w:line="240" w:lineRule="auto"/>
    </w:pPr>
    <w:rPr>
      <w:rFonts w:eastAsiaTheme="minorEastAsia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 2"/>
    <w:basedOn w:val="Norml"/>
    <w:rsid w:val="007757D3"/>
    <w:pPr>
      <w:widowControl w:val="0"/>
      <w:spacing w:after="0" w:line="240" w:lineRule="auto"/>
      <w:jc w:val="both"/>
    </w:pPr>
    <w:rPr>
      <w:rFonts w:ascii="Times New Roman" w:hAnsi="Times New Roman" w:cs="Times New Roman"/>
      <w:snapToGrid w:val="0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1313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1</cp:revision>
  <dcterms:created xsi:type="dcterms:W3CDTF">2017-12-21T14:03:00Z</dcterms:created>
  <dcterms:modified xsi:type="dcterms:W3CDTF">2017-12-21T14:16:00Z</dcterms:modified>
</cp:coreProperties>
</file>