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Gelse</w:t>
      </w:r>
      <w:r>
        <w:rPr>
          <w:rFonts w:ascii="Times New Roman" w:hAnsi="Times New Roman" w:cs="Times New Roman"/>
          <w:sz w:val="24"/>
          <w:szCs w:val="24"/>
        </w:rPr>
        <w:t>sziget</w:t>
      </w:r>
      <w:r w:rsidRPr="00AA226F">
        <w:rPr>
          <w:rFonts w:ascii="Times New Roman" w:hAnsi="Times New Roman" w:cs="Times New Roman"/>
          <w:sz w:val="24"/>
          <w:szCs w:val="24"/>
        </w:rPr>
        <w:t xml:space="preserve"> Község Önkormányzat Képviselő-testülete </w:t>
      </w: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…/2015. (II</w:t>
      </w:r>
      <w:proofErr w:type="gramStart"/>
      <w:r w:rsidR="00ED182C">
        <w:rPr>
          <w:rFonts w:ascii="Times New Roman" w:hAnsi="Times New Roman" w:cs="Times New Roman"/>
          <w:sz w:val="24"/>
          <w:szCs w:val="24"/>
        </w:rPr>
        <w:t>….</w:t>
      </w:r>
      <w:r w:rsidRPr="00AA22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>) önkormányzati rendelet</w:t>
      </w:r>
      <w:r w:rsidR="00ED182C">
        <w:rPr>
          <w:rFonts w:ascii="Times New Roman" w:hAnsi="Times New Roman" w:cs="Times New Roman"/>
          <w:sz w:val="24"/>
          <w:szCs w:val="24"/>
        </w:rPr>
        <w:t>-tervezet</w:t>
      </w:r>
      <w:r w:rsidRPr="00AA226F">
        <w:rPr>
          <w:rFonts w:ascii="Times New Roman" w:hAnsi="Times New Roman" w:cs="Times New Roman"/>
          <w:sz w:val="24"/>
          <w:szCs w:val="24"/>
        </w:rPr>
        <w:t>e</w:t>
      </w:r>
    </w:p>
    <w:p w:rsidR="00FB61F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 szociális ellátások helyi szabályairól</w:t>
      </w: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 pénzbeli és természetbeni támogatások rendszeréről, valamint a személyes gondoskodást nyújtó szociális és gyermekjóléti ellátásokról Gelse</w:t>
      </w:r>
      <w:r>
        <w:rPr>
          <w:rFonts w:ascii="Times New Roman" w:hAnsi="Times New Roman" w:cs="Times New Roman"/>
          <w:sz w:val="24"/>
          <w:szCs w:val="24"/>
        </w:rPr>
        <w:t>sziget</w:t>
      </w:r>
      <w:r w:rsidRPr="00AA226F">
        <w:rPr>
          <w:rFonts w:ascii="Times New Roman" w:hAnsi="Times New Roman" w:cs="Times New Roman"/>
          <w:sz w:val="24"/>
          <w:szCs w:val="24"/>
        </w:rPr>
        <w:t xml:space="preserve"> Község  Önkormányzat Képviselő-testülete a szociális igazgatásról és szociális ellátásokról szóló 1993. évi III. törvény (a továbbiakban: Szt.) 1. § (2) bekezdésében, 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25. § (3) </w:t>
      </w:r>
      <w:r w:rsidRPr="00AA226F">
        <w:rPr>
          <w:rFonts w:ascii="Times New Roman" w:hAnsi="Times New Roman" w:cs="Times New Roman"/>
          <w:sz w:val="24"/>
          <w:szCs w:val="24"/>
        </w:rPr>
        <w:t>bekezdés b) pontjában, 26. §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-ában</w:t>
      </w:r>
      <w:proofErr w:type="spellEnd"/>
      <w:proofErr w:type="gramStart"/>
      <w:r w:rsidRPr="00AA226F">
        <w:rPr>
          <w:rFonts w:ascii="Times New Roman" w:hAnsi="Times New Roman" w:cs="Times New Roman"/>
          <w:sz w:val="24"/>
          <w:szCs w:val="24"/>
        </w:rPr>
        <w:t xml:space="preserve">, </w:t>
      </w:r>
      <w:r w:rsidR="008D3E3C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8D3E3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A226F">
        <w:rPr>
          <w:rFonts w:ascii="Times New Roman" w:hAnsi="Times New Roman" w:cs="Times New Roman"/>
          <w:sz w:val="24"/>
          <w:szCs w:val="24"/>
        </w:rPr>
        <w:t>45. §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48. § (4) bekezdésében </w:t>
      </w:r>
      <w:r w:rsidRPr="00BB4DD2">
        <w:rPr>
          <w:rFonts w:ascii="Times New Roman" w:hAnsi="Times New Roman" w:cs="Times New Roman"/>
          <w:b/>
          <w:color w:val="FF0000"/>
          <w:sz w:val="24"/>
          <w:szCs w:val="24"/>
        </w:rPr>
        <w:t>temetés</w:t>
      </w:r>
      <w:r w:rsidRPr="00BB4DD2">
        <w:rPr>
          <w:rFonts w:ascii="Times New Roman" w:hAnsi="Times New Roman" w:cs="Times New Roman"/>
          <w:b/>
          <w:sz w:val="24"/>
          <w:szCs w:val="24"/>
        </w:rPr>
        <w:t>,</w:t>
      </w:r>
      <w:r w:rsidRPr="00AA226F">
        <w:rPr>
          <w:rFonts w:ascii="Times New Roman" w:hAnsi="Times New Roman" w:cs="Times New Roman"/>
          <w:sz w:val="24"/>
          <w:szCs w:val="24"/>
        </w:rPr>
        <w:t xml:space="preserve"> valamint a gyermekek védelméről és a gyámügyi igazgatásról szóló 1997. évi XXXI. törvény (a továbbiakban: Gyvt.) 18. § (2) bekezdésében, 29. § (2) bekezdésében, 131. § (1) bekezdésében, valamint a közigazgatási hatósági eljárás és szolgáltatás általános szabályairól szóló 2004. évi CXL. törvény (a továbbiakban: KET.) 74. § (5) bekezdésében kapott felhatalmazás alapján az alábbi rendeletet alkotja: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I. fejezet Általános rendelkezések</w:t>
      </w:r>
    </w:p>
    <w:p w:rsidR="00FB61F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A rendelet célja</w:t>
      </w: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B61FF" w:rsidRPr="00ED182C">
        <w:rPr>
          <w:rFonts w:ascii="Times New Roman" w:hAnsi="Times New Roman" w:cs="Times New Roman"/>
          <w:sz w:val="24"/>
          <w:szCs w:val="24"/>
        </w:rPr>
        <w:t xml:space="preserve">§ </w:t>
      </w: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AA226F">
        <w:rPr>
          <w:rFonts w:ascii="Times New Roman" w:hAnsi="Times New Roman" w:cs="Times New Roman"/>
          <w:sz w:val="24"/>
          <w:szCs w:val="24"/>
        </w:rPr>
        <w:t xml:space="preserve"> E rendelet célja, hogy a szociális biztonság megteremtése és megőrzése érdekében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szabályozza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 a pénzbeli és természetbeni juttatások, valamint a szociális ellátások igénybevételének helyi szabályait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(2) A Képviselő-testület az ellátások biztosításával a szociális szempontokból rászorult családok életminőségén kíván javítani, egyidejűleg ösztönözni kívánja a kérelmezőket arra, hogy maguk is tegyenek meg minden tőlük elvárhatót annak érdekében, hogy családjuk eltartásáról elsősorban kereső tevékenységből származó jövedelemből tudjanak gondoskodni.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(3) E rendelet a 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Szt-ben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Gyvt-ben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 foglalt rendeletalkotási kötelezettségnek megfelelően a Szt. 1. § (2) bekezdés felhatalmazása alapján rendelkezik az Önkormányzat által nyújtható szociális ellátásokról.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A rendelet hatálya </w:t>
      </w: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ED182C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(1) E rendeletet kell alkalmazni Gelse</w:t>
      </w:r>
      <w:r>
        <w:rPr>
          <w:rFonts w:ascii="Times New Roman" w:hAnsi="Times New Roman" w:cs="Times New Roman"/>
          <w:sz w:val="24"/>
          <w:szCs w:val="24"/>
        </w:rPr>
        <w:t>sziget</w:t>
      </w:r>
      <w:r w:rsidRPr="00AA226F">
        <w:rPr>
          <w:rFonts w:ascii="Times New Roman" w:hAnsi="Times New Roman" w:cs="Times New Roman"/>
          <w:sz w:val="24"/>
          <w:szCs w:val="24"/>
        </w:rPr>
        <w:t xml:space="preserve"> község Önkormányzat közigazgatási területén életvitelszerűen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élő                                                                                                                                                                                             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>) magyar állampolgárokra,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b) bevándoroltakra és letelepedettekre,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c) hontalanokra,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d) a magyar hatóság által menekültként vagy oltalmazottként elismert személyekre.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(2) E rendelet hatálya a Szt. 7. § (1) bekezdésében meghatározott ellátások tekintetében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-d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) pontban foglaltakon túlmenően kiterjed az Európai Szociális Kartát megerősítő országoknak a Magyarország területén jogszerűen tartózkodó állampolgáraira is.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(3) E rendelet hatálya kiterjed a Szt. 3. § (3) bekezdésében, a Gyvt. 4. § (1) bekezdés b) pontjában meghatározottakra.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(4) E rendelet szerint kell eljárni az (1) és (2) bekezdésben meghatározott személyeken kívül, Gelse</w:t>
      </w:r>
      <w:r w:rsidR="00ED182C">
        <w:rPr>
          <w:rFonts w:ascii="Times New Roman" w:hAnsi="Times New Roman" w:cs="Times New Roman"/>
          <w:sz w:val="24"/>
          <w:szCs w:val="24"/>
        </w:rPr>
        <w:t>sziget</w:t>
      </w:r>
      <w:r w:rsidRPr="00AA226F">
        <w:rPr>
          <w:rFonts w:ascii="Times New Roman" w:hAnsi="Times New Roman" w:cs="Times New Roman"/>
          <w:sz w:val="24"/>
          <w:szCs w:val="24"/>
        </w:rPr>
        <w:t xml:space="preserve"> község területén tartózkodó nem magyar állampolgárságú gyermek védelmében is, ha az ideiglenes hatályú elhelyezés vagy más ideiglenes hatósági intézkedés elmulasztása a gyermek veszélyeztetettségével vagy elháríthatatlan kárral járna. 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3C" w:rsidRDefault="008D3E3C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lastRenderedPageBreak/>
        <w:t>Hatásköri szabályok</w:t>
      </w: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ED182C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(1) Az 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Szt.-ben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>, valamint a rendeletben meghatározott feltételek szerint Gelse</w:t>
      </w:r>
      <w:r>
        <w:rPr>
          <w:rFonts w:ascii="Times New Roman" w:hAnsi="Times New Roman" w:cs="Times New Roman"/>
          <w:sz w:val="24"/>
          <w:szCs w:val="24"/>
        </w:rPr>
        <w:t>sziget</w:t>
      </w:r>
      <w:r w:rsidRPr="00AA226F">
        <w:rPr>
          <w:rFonts w:ascii="Times New Roman" w:hAnsi="Times New Roman" w:cs="Times New Roman"/>
          <w:sz w:val="24"/>
          <w:szCs w:val="24"/>
        </w:rPr>
        <w:t xml:space="preserve"> község Önkormányzat Képviselő-testülete hatáskörében dönt: 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települési támogatás megállapításáról ;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b) köztemetés költségének megtérítése alóli mentesítésről.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c) a (1) bekezdésben meghatározott települési támogatás során egyedi méltányosság gyakorlásáról; c) a jogosulatlanul és rosszhiszeműen felvett ellátások tekintetében a részletfizetés engedélyezéséről, a részbeni vagy a teljes elengedésről;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Eljárási rendelkezések</w:t>
      </w:r>
    </w:p>
    <w:p w:rsidR="00FB61F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4. §</w:t>
      </w: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(1) A szociális, gyermekjóléti ellátások iránti kérelmet </w:t>
      </w:r>
      <w:r w:rsidR="00ED182C">
        <w:rPr>
          <w:rFonts w:ascii="Times New Roman" w:hAnsi="Times New Roman" w:cs="Times New Roman"/>
          <w:sz w:val="24"/>
          <w:szCs w:val="24"/>
        </w:rPr>
        <w:t>–</w:t>
      </w:r>
      <w:r w:rsidRPr="00AA226F">
        <w:rPr>
          <w:rFonts w:ascii="Times New Roman" w:hAnsi="Times New Roman" w:cs="Times New Roman"/>
          <w:sz w:val="24"/>
          <w:szCs w:val="24"/>
        </w:rPr>
        <w:t xml:space="preserve"> az igénylésre rendszeresített nyomtatványon </w:t>
      </w:r>
      <w:r w:rsidR="00ED182C">
        <w:rPr>
          <w:rFonts w:ascii="Times New Roman" w:hAnsi="Times New Roman" w:cs="Times New Roman"/>
          <w:sz w:val="24"/>
          <w:szCs w:val="24"/>
        </w:rPr>
        <w:t>–</w:t>
      </w:r>
      <w:r w:rsidRPr="00AA226F">
        <w:rPr>
          <w:rFonts w:ascii="Times New Roman" w:hAnsi="Times New Roman" w:cs="Times New Roman"/>
          <w:sz w:val="24"/>
          <w:szCs w:val="24"/>
        </w:rPr>
        <w:t xml:space="preserve"> egész évben folyamatosan lehet benyújtani a Gelsei Közös Önkormányzati Hivatal szociális ügyekkel foglalkozó ügyintézőjénél.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(2) A szociális gondoskodás biztosítása érdekében az Önkormányzat, valamint annak intézményei, továbbá a településen működő köznevelési, egészségügyi szervezetek egymással és a civil szervezetekkel kötelesek együttműködni, a tudomásukra jutott, gondoskodást igénylő problémák megoldását kötelesek kezdeményezni. 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A benyújtott igazolások, nyilatkozatok tartalmát a szociális ügyekkel foglalkozó ügyintéző az alábbiak szerint ellenőrizheti: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megkeresheti az illetékességgel rendelkező adóhatóságot,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b) elrendelheti környezettanulmány készítését,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c) megkeresheti az igazolást kiállító szervet, munkáltatót.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A települési támogatás</w:t>
      </w: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A települési támogatást a családi segélyezés elvének érvényesítésével kell biztosítani. A családban életvitelszerűen együtt élő személyek életmódját, szociális helyzetét, a rászorultságot egységben kell vizsgálni. A nyújtandó támogatást úgy kell megállapítani, hogy elősegítsék a család létfenntartási és lakhatási lehetőségeit. 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(1) Nem szükséges a kérelmezőnek új igazolást csatolni, illetve nyilatkozatot tenni a tárgyévi kérelméhez, ha a jogszabályoknak és a rendelet előírásainak megfelelően már benyújtotta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 tárgyévi nyugdíjáról szóló igazolást,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c) a szülői felügyeleti jog egyik szülő általi gyakorlása esetén az erre vonatkozó okiratot,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d) a tartósan beteg, illetőleg fogyatékos gyermek egészségi állapotára vonatkozó igazolást,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a középfokú, vagy felsőfokú oktatási intézmény nappali tagozatán tanuló esetében az oktatási intézmény adott félévi igazolását a tanulói vagy hallgatói jogviszony fennállásáról,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álláskereső esetén az együttműködésről, az álláskereső ellátásról, vagy a regisztrálásról a munkaügyi központ illetékes kirendeltsége által kiadott előző havi igazolást, határozatot, vagy az aktív korú ellátásra való jogosultságot megállapító határozatot,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lastRenderedPageBreak/>
        <w:t>g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>) a gyermek elhelyezése vagy ideiglenes hatályú elhelyezése és a gyámrendelés tárgyában hozott bírósági és gyámhatósági határozatot.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(2) Annak igazolására, hogy a szülő gyermekét egyedül neveli, illetve gyermektartásdíjban részesül, bontóperi vagy gyermekelhelyezésről szóló ítélet, képzelt apát megállapító határozat, gyermektartásdíjat megállapító bírói ítélet vagy ez irányú bírósági eljárás megindításáról szóló okirat szolgálhat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(1) A települési támogatás egészben vagy részben természetbeni szociális ellátás formájában is nyújtható. A természetbeni szociális ellátás formájáról és módjáról az ellátást megállapító határozatban rendelkezni kell.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(2) A természetbeni szociális ellátás formái: étkezés, térítési díj átvállalása, a gyermek tanulmányaival összefüggő kiadások támogatása.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(3) A települési támogatás folyósítása készpénzben vagy a jogosult közvetlen költségeinek átvállalásával történhet.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(4) A készpénzben megállapított települési támogatás felhasználásáról a jogosult az összeg felvételétől számított 30 napon belül elszámoltatható. </w:t>
      </w:r>
    </w:p>
    <w:p w:rsidR="008D3E3C" w:rsidRPr="008132D4" w:rsidRDefault="008D3E3C" w:rsidP="00FB61FF">
      <w:pPr>
        <w:pStyle w:val="Listaszerbekezds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Az ellátások folyósítása</w:t>
      </w:r>
    </w:p>
    <w:p w:rsidR="00FB61FF" w:rsidRPr="00ED182C" w:rsidRDefault="008D3E3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182C"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(1) A megállapított támogatást elsősorban az ügyfél részére készpénzben kell kifizetni.</w:t>
      </w:r>
    </w:p>
    <w:p w:rsidR="00FB61F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II. fejezet A települési támogatás formái</w:t>
      </w:r>
    </w:p>
    <w:p w:rsidR="00FB61FF" w:rsidRPr="00AA226F" w:rsidRDefault="008D3E3C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B61FF" w:rsidRPr="00AA226F">
        <w:rPr>
          <w:rFonts w:ascii="Times New Roman" w:hAnsi="Times New Roman" w:cs="Times New Roman"/>
          <w:sz w:val="24"/>
          <w:szCs w:val="24"/>
        </w:rPr>
        <w:t>. §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Települési támogatás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 létfenntartási gondok enyhítése;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b) gyógyszerköltségekhez történő hozzájárulás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d) az elhunyt személy eltemettetésének költségeihez való hozzájárulás;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a gyermekek családban történő gondozásának, tanulmányainak  költségeihez való hozzájárulás; 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>) ápolási támogatás  céljából nyújtható.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3E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(1) Rendkívüli Települési támogatás állapítható meg annak a létfenntartási gondokkal küzdő személynek, akinek családjában az egy főre jutó jövedelem nem haladja meg az öregségi nyugdíj mindenkori legkisebb 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összegének 150 %-át, egyedül álló esetén 200 %-át és önmaga vagy családja létfenntartásáról más módon gondoskodni nem tud, mert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tartós betegség vagy rokkantság miatt jelentős jövedelem-kiesése következett be vagy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b) elemi kár, vagy sérelmére elkövetett bűncselekményből anyagi kára keletkezett vagy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c) nyugdíj vagy a megváltozott munkaképességű személyek ellátásairól és egyes törvények módosításáról szóló 2011. évi CXCI. törvény 3. § (1) bekezdése szerint folyósított ellátás kifizetése a jogosultság megállapításának elhúzódása miatt késik vagy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d) önhibáján kívül legfeljebb 2 havi közüzemi díjhátraléka, lakbérhátraléka halmozódott fel, melyet önerőből nem tud kiegyenlíteni vagy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nagyobb összegű, váratlan vagy előre látott kiadásai vannak, amelyeket önerőből nem tud kiegyenlíteni vagy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lastRenderedPageBreak/>
        <w:t>f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>) gyermek nevelésével, gondozásával,</w:t>
      </w:r>
      <w:r>
        <w:rPr>
          <w:rFonts w:ascii="Times New Roman" w:hAnsi="Times New Roman" w:cs="Times New Roman"/>
          <w:sz w:val="24"/>
          <w:szCs w:val="24"/>
        </w:rPr>
        <w:t xml:space="preserve"> tanköteles korú gyermek</w:t>
      </w: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tanulmányainak támogatásával, </w:t>
      </w:r>
      <w:r w:rsidRPr="00AA226F">
        <w:rPr>
          <w:rFonts w:ascii="Times New Roman" w:hAnsi="Times New Roman" w:cs="Times New Roman"/>
          <w:sz w:val="24"/>
          <w:szCs w:val="24"/>
        </w:rPr>
        <w:t xml:space="preserve">a nevelésbe vett gyermek családjával való kapcsolattartáshoz, a gyermek családba történő visszakerülésének elősegítéséhez kapcsolódó kiadásai keletkeztek. 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(2) Az (1) bekezdésben meghatározott esetekben a települési támogatás legkisebb összege </w:t>
      </w:r>
      <w:r w:rsidRPr="00E12C9C">
        <w:rPr>
          <w:rFonts w:ascii="Times New Roman" w:hAnsi="Times New Roman" w:cs="Times New Roman"/>
          <w:color w:val="FF0000"/>
          <w:sz w:val="24"/>
          <w:szCs w:val="24"/>
        </w:rPr>
        <w:t>5.000</w:t>
      </w:r>
      <w:r w:rsidRPr="00AA226F">
        <w:rPr>
          <w:rFonts w:ascii="Times New Roman" w:hAnsi="Times New Roman" w:cs="Times New Roman"/>
          <w:sz w:val="24"/>
          <w:szCs w:val="24"/>
        </w:rPr>
        <w:t xml:space="preserve">.- Ft, 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de nem haladhatja meg a tényleges költség mértékét. 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Települési támogatás</w:t>
      </w:r>
      <w:r w:rsidRPr="00587A58">
        <w:rPr>
          <w:rFonts w:ascii="Times New Roman" w:hAnsi="Times New Roman" w:cs="Times New Roman"/>
          <w:sz w:val="24"/>
          <w:szCs w:val="24"/>
        </w:rPr>
        <w:t xml:space="preserve"> pénzügyi szolgáltatási tevékenységnek nem minősülő kamatmentes kölcsön formájában is nyújtható.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87A5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7A5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87A58">
        <w:rPr>
          <w:rFonts w:ascii="Times New Roman" w:hAnsi="Times New Roman" w:cs="Times New Roman"/>
          <w:sz w:val="24"/>
          <w:szCs w:val="24"/>
        </w:rPr>
        <w:t xml:space="preserve"> kamatmentes kölcsön formájában legfeljebb 12 hónapos visszafizetési kötelezettséggel adható, ha a kérelmező valószínűsíti, hogy a kölcsön összegét ezen időtartam alatt vissza tudja fizetni.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87A58">
        <w:rPr>
          <w:rFonts w:ascii="Times New Roman" w:hAnsi="Times New Roman" w:cs="Times New Roman"/>
          <w:sz w:val="24"/>
          <w:szCs w:val="24"/>
        </w:rPr>
        <w:t>) Ugyanannak a személynek újabb kölcsön csak abban az esetben adható, ha az előző kölcsön összegét már visszafizette.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87A58">
        <w:rPr>
          <w:rFonts w:ascii="Times New Roman" w:hAnsi="Times New Roman" w:cs="Times New Roman"/>
          <w:sz w:val="24"/>
          <w:szCs w:val="24"/>
        </w:rPr>
        <w:t>) A kölcsön megítélésének feltétele, hogy a rászoruló családjában az egy főre jutó jövedelem az öregségi nyugdíj mindenkori legkisebb összegének másfélszeresét, egyedülálló esetén kétszeresét ne haladja meg.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87A58">
        <w:rPr>
          <w:rFonts w:ascii="Times New Roman" w:hAnsi="Times New Roman" w:cs="Times New Roman"/>
          <w:sz w:val="24"/>
          <w:szCs w:val="24"/>
        </w:rPr>
        <w:t>) A kölcsön összege a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7A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7A58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.-</w:t>
      </w:r>
      <w:r w:rsidRPr="00587A58">
        <w:rPr>
          <w:rFonts w:ascii="Times New Roman" w:hAnsi="Times New Roman" w:cs="Times New Roman"/>
          <w:sz w:val="24"/>
          <w:szCs w:val="24"/>
        </w:rPr>
        <w:t xml:space="preserve"> Ft-ot nem haladhatja meg.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87A58">
        <w:rPr>
          <w:rFonts w:ascii="Times New Roman" w:hAnsi="Times New Roman" w:cs="Times New Roman"/>
          <w:sz w:val="24"/>
          <w:szCs w:val="24"/>
        </w:rPr>
        <w:t>) A kölcsön megállapításáról szóló határozatban rendelkezni kell a visszafizetés időtartamáról, feltételeiről.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587A58">
        <w:rPr>
          <w:rFonts w:ascii="Times New Roman" w:hAnsi="Times New Roman" w:cs="Times New Roman"/>
          <w:sz w:val="24"/>
          <w:szCs w:val="24"/>
        </w:rPr>
        <w:t>) A kölcsön megállapítása esetén a jogosulttal szerződést kell kötni, amelyben rögzíteni kell a kifizetés módját, a visszafizetés módjára vonatkozó szabályokat, valamint fel kell tüntetni a visszafizetés elmulasztásának jogkövetkezményeit is. A jogosulttal történő szerződéskötés a polgármester hatáskörébe tartozik.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587A58">
        <w:rPr>
          <w:rFonts w:ascii="Times New Roman" w:hAnsi="Times New Roman" w:cs="Times New Roman"/>
          <w:sz w:val="24"/>
          <w:szCs w:val="24"/>
        </w:rPr>
        <w:t>) A kamatmentes kölcsön iránti kérelmet a közös önkormányzati hivatal</w:t>
      </w:r>
      <w:r>
        <w:rPr>
          <w:rFonts w:ascii="Times New Roman" w:hAnsi="Times New Roman" w:cs="Times New Roman"/>
          <w:sz w:val="24"/>
          <w:szCs w:val="24"/>
        </w:rPr>
        <w:t xml:space="preserve"> szociális ügyekkel foglalkozó ügyintézőjénél </w:t>
      </w:r>
      <w:r w:rsidRPr="00587A58">
        <w:rPr>
          <w:rFonts w:ascii="Times New Roman" w:hAnsi="Times New Roman" w:cs="Times New Roman"/>
          <w:sz w:val="24"/>
          <w:szCs w:val="24"/>
        </w:rPr>
        <w:t>kell benyújtani, amelyhez mellékelni kell: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8">
        <w:rPr>
          <w:rFonts w:ascii="Times New Roman" w:hAnsi="Times New Roman" w:cs="Times New Roman"/>
          <w:sz w:val="24"/>
          <w:szCs w:val="24"/>
        </w:rPr>
        <w:t>- a jövedelem típusának megfelelő igazolást, vagy azok fénymásolatát, továbbá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8">
        <w:rPr>
          <w:rFonts w:ascii="Times New Roman" w:hAnsi="Times New Roman" w:cs="Times New Roman"/>
          <w:sz w:val="24"/>
          <w:szCs w:val="24"/>
        </w:rPr>
        <w:t>- a többletkiadásokat hitelt érdemlően bizonyító dokumentumokat, vagy azok másolatát, illetve az előzőek hiányában az ügyfél nyilatkozatát.</w:t>
      </w:r>
    </w:p>
    <w:p w:rsidR="00ED182C" w:rsidRPr="00587A58" w:rsidRDefault="00ED182C" w:rsidP="00ED1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587A58">
        <w:rPr>
          <w:rFonts w:ascii="Times New Roman" w:hAnsi="Times New Roman" w:cs="Times New Roman"/>
          <w:sz w:val="24"/>
          <w:szCs w:val="24"/>
        </w:rPr>
        <w:t>) A szociális kölcsön célirányos felhasználásáról a jogosult a pénz folyósításától számított legkésőbb 6 hónapon belül számlákkal köteles elszámolni. Nem rendeltetésszerű felhasználás, illetve elszámolás hiánya esetén a kölcsönben részesülő egy összegben köteles a hátralékot visszafizetni, valamint 5 évig nem részesülhet szociális kölcsönben.</w:t>
      </w:r>
    </w:p>
    <w:p w:rsidR="00ED182C" w:rsidRDefault="00ED182C" w:rsidP="00ED1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82C" w:rsidRPr="002D586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3E3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586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ED182C" w:rsidRDefault="00FB61FF" w:rsidP="00ED1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ED182C" w:rsidRDefault="00FB61FF" w:rsidP="00ED182C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Times New Roman" w:hAnsi="Times New Roman" w:cs="Times New Roman"/>
          <w:sz w:val="24"/>
          <w:szCs w:val="24"/>
        </w:rPr>
        <w:t>Nem állapítható meg települési támogatás annak az aktív korú személynek, aki álláskeresőként, illetve akinek a családjában élő személy munkanélküliként a munkahely keresés céljából nem működik együtt az illetékes Kormányhivatal Munkaügyi Központjával.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2D4">
        <w:rPr>
          <w:rFonts w:ascii="Times New Roman" w:hAnsi="Times New Roman" w:cs="Times New Roman"/>
          <w:sz w:val="24"/>
          <w:szCs w:val="24"/>
        </w:rPr>
        <w:t xml:space="preserve"> (1) Települési támogatásként az egészségi állapot megőrzését jelentő szolgáltatások </w:t>
      </w:r>
      <w:r w:rsidRPr="00AA226F">
        <w:rPr>
          <w:rFonts w:ascii="Times New Roman" w:hAnsi="Times New Roman" w:cs="Times New Roman"/>
          <w:sz w:val="24"/>
          <w:szCs w:val="24"/>
        </w:rPr>
        <w:t>költségeihez való teljes vagy részbeni hozzájárulás állapítható meg annak a személynek,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>) aki közgyógyellátási igazolványra nem jogosult és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) igazoltan a rendszeresen szedett gyógyszer kiadása, vagy gyógyászati segédeszköz beszerzésének költsége meghaladja saját jövedelme 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15%-át, és családjában az egy főre jutó jövedelem nem haladja meg az öregségi nyugdíj mindenkori legkisebb </w:t>
      </w:r>
      <w:proofErr w:type="gramStart"/>
      <w:r w:rsidRPr="00AA226F">
        <w:rPr>
          <w:rFonts w:ascii="Times New Roman" w:hAnsi="Times New Roman" w:cs="Times New Roman"/>
          <w:color w:val="FF0000"/>
          <w:sz w:val="24"/>
          <w:szCs w:val="24"/>
        </w:rPr>
        <w:t>összegének  200</w:t>
      </w:r>
      <w:proofErr w:type="gramEnd"/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 %- át;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ab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esetenként felírt gyógyszer kiadása, vagy gyógyászati segédeszköz beszerzésének költségét önerőből biztosítani nem tudja, és családjában 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az egy főre jutó jövedelem nem haladja meg az öregségi nyugdíj mindenkori legkisebb összegének 200%-át;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lastRenderedPageBreak/>
        <w:t xml:space="preserve">(2) Az (1) bekezdés 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>) pontja szerinti települési támogatás a kérelem benyújtásától egy éves időtartamra állapítható meg, összege az igazolt gyógyszerköltség, de nem haladhatja meg a havi 3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.000 Ft-ot.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(3) Az (1) bekezdés ab) pontja szerinti települési támogatás összege az igazolt gyógyszerköltség, de éves szinten nem haladhatja meg az öregségi nyugdíj mindenkori legkisebb összegét.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(4) Az (1) bekezdésében szabályozott települési támogatás iránti kérelem kötelező melléklete a háziorvos és/vagy kezelőorvos által felírt rendszeresen vagy esetenként szedett gyógyszerek, gyógyászati segédeszköz költségének összegéről szóló igazolás. 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3E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(1) Települési támogatásként elhunyt személy eltemettetésének költségeihez való hozzájárulás nyújtható annak a személynek, aki a meghalt személy eltemettetéséről gondoskodott, és a családjában az egy főre jutó jövedelem nem haladja meg az öregségi nyugdíj mindenkori legkisebb összegének 3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>00%-át.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(2) A támogatás összege 15.000 Ft-.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3E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8132D4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A226F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) Települési támogatás nyújtható a gyermek születésekor, ha a kérelmező a kérelem benyújtásakor és az azt megelőző egy évben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település szintű </w:t>
      </w:r>
      <w:r w:rsidRPr="00AA226F">
        <w:rPr>
          <w:rFonts w:ascii="Times New Roman" w:hAnsi="Times New Roman" w:cs="Times New Roman"/>
          <w:color w:val="FF0000"/>
          <w:sz w:val="24"/>
          <w:szCs w:val="24"/>
        </w:rPr>
        <w:t xml:space="preserve">lakóhellyel rendelkezik.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 xml:space="preserve">Az (1) bekezdés </w:t>
      </w:r>
      <w:r w:rsidRPr="00AA226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pontja </w:t>
      </w:r>
      <w:r w:rsidRPr="00AA226F">
        <w:rPr>
          <w:rFonts w:ascii="Times New Roman" w:hAnsi="Times New Roman" w:cs="Times New Roman"/>
          <w:sz w:val="24"/>
          <w:szCs w:val="24"/>
        </w:rPr>
        <w:t xml:space="preserve"> iránti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 kérelem kötelező melléklete a gyermek születési anyakönyvi kivonata.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(3) Ö</w:t>
      </w:r>
      <w:r w:rsidRPr="00AA226F">
        <w:rPr>
          <w:rFonts w:ascii="Times New Roman" w:hAnsi="Times New Roman" w:cs="Times New Roman"/>
          <w:sz w:val="24"/>
          <w:szCs w:val="24"/>
        </w:rPr>
        <w:t xml:space="preserve">sszege gyermekenként 10.000 Ft. </w:t>
      </w: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3E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Á</w:t>
      </w:r>
      <w:r w:rsidRPr="00AA226F">
        <w:rPr>
          <w:rFonts w:ascii="Times New Roman" w:hAnsi="Times New Roman" w:cs="Times New Roman"/>
          <w:sz w:val="24"/>
          <w:szCs w:val="24"/>
        </w:rPr>
        <w:t xml:space="preserve">polási célú települési támogatás állapítható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meg  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 település közigazgatásai területén lakóhellyel rendelkező és életvitelszerűen lakó nagykorú közeli hozzátartozónak az alábbi feltételek együttes fennállása esetén</w:t>
      </w:r>
    </w:p>
    <w:p w:rsidR="00FB61FF" w:rsidRPr="00AA226F" w:rsidRDefault="00FB61FF" w:rsidP="00FB61FF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az igénylő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proofErr w:type="spellStart"/>
      <w:r w:rsidRPr="00AA226F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) 18. életévét betöltött tartós beteg személy gondozását, ápolását végzi;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ab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kora, egészségi állapota alapján alkalmas az ápolt személy gondozási és ápolási igényére tekintettel a feladat ellátására;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proofErr w:type="spellStart"/>
      <w:r w:rsidRPr="00AA226F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>) regisztrált álláskereső és a munkanélküliek ellátására, társadalombiztosítási ellátására, valamint nyugellátásra nem jogosult;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>) családjában az egy főre jutó jövedelem nem haladja meg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A226F">
        <w:rPr>
          <w:rFonts w:ascii="Times New Roman" w:hAnsi="Times New Roman" w:cs="Times New Roman"/>
          <w:sz w:val="24"/>
          <w:szCs w:val="24"/>
        </w:rPr>
        <w:t xml:space="preserve"> öregségi nyugdíj mindenkori legkisebb összegének 200%- át, és vagyonnal nem rendelkeznek;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proofErr w:type="spellStart"/>
      <w:r w:rsidRPr="00AA226F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>) nem jogosult az Szt. 41.§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 alapján ápolási díjra;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b) a 18. életévét betöltött tartós beteg személy háztartásában a kérelmezőn kívül ápolásra, gondozásra alkalmas más személy nincs;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226F">
        <w:rPr>
          <w:rFonts w:ascii="Times New Roman" w:hAnsi="Times New Roman" w:cs="Times New Roman"/>
          <w:sz w:val="24"/>
          <w:szCs w:val="24"/>
        </w:rPr>
        <w:t>) Az ápolási célú települési támogatás folyósítás alatt az ápolást végző személy ápolási kötelezettségének teljesítése bármikor ellenőrizhető.</w:t>
      </w:r>
    </w:p>
    <w:p w:rsidR="00FB61F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3E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331489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(1) Az ápolási célú települési támogatás összege az öregségi nyugdíj mindenkori legkisebb összegének </w:t>
      </w:r>
      <w:r w:rsidRPr="00E12C9C">
        <w:rPr>
          <w:rFonts w:ascii="Times New Roman" w:hAnsi="Times New Roman" w:cs="Times New Roman"/>
          <w:color w:val="FF0000"/>
          <w:sz w:val="24"/>
          <w:szCs w:val="24"/>
        </w:rPr>
        <w:t>80%-a</w:t>
      </w:r>
      <w:r w:rsidRPr="00AA22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(2) Az ápolási támogatás legfeljebb tizenkét hónap időtartamra állapítható meg.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3E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331489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A települési támogatás megállapításánál a</w:t>
      </w:r>
      <w:r w:rsidRPr="00AA226F">
        <w:rPr>
          <w:rFonts w:ascii="Times New Roman" w:hAnsi="Times New Roman" w:cs="Times New Roman"/>
          <w:sz w:val="24"/>
          <w:szCs w:val="24"/>
        </w:rPr>
        <w:t xml:space="preserve">z egyedi </w:t>
      </w:r>
      <w:proofErr w:type="gramStart"/>
      <w:r w:rsidRPr="00AA226F">
        <w:rPr>
          <w:rFonts w:ascii="Times New Roman" w:hAnsi="Times New Roman" w:cs="Times New Roman"/>
          <w:sz w:val="24"/>
          <w:szCs w:val="24"/>
        </w:rPr>
        <w:t>méltányosságot  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 képviselő-testület gyakorolja.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(2) A települési támogatások megállapítása során a kérelmező javára eltérés a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226F">
        <w:rPr>
          <w:rFonts w:ascii="Times New Roman" w:hAnsi="Times New Roman" w:cs="Times New Roman"/>
          <w:sz w:val="24"/>
          <w:szCs w:val="24"/>
        </w:rPr>
        <w:t>) bekezdésben meghatározott szempontok figyelembevételével történhet, azonban - egy naptári évben belül - az öregségi nyugdíj mindenkori legkisebb összegének hatszorosánál magasabb összeg nem állapítható meg.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6F">
        <w:rPr>
          <w:rFonts w:ascii="Times New Roman" w:hAnsi="Times New Roman" w:cs="Times New Roman"/>
          <w:sz w:val="24"/>
          <w:szCs w:val="24"/>
        </w:rPr>
        <w:t>A szociális ellátás megtérítése során a megtérítés összege, vagy pénzegyenértéke, a kamat összege méltányossági jogkörben történő elengedésének, mérséklésének, részletekben történő megfizetésének akkor van helye, ha annak megfizetése a kötelezett megélhetését súlyosan veszélyeztetné, feltéve, hogy a visszafizetésre kötelezett személy családjának az egy főre jutó havi jövedelme nem haladja meg az öregségi nyugdíj mindenkori legkisebb összegének 250%-át.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226F">
        <w:rPr>
          <w:rFonts w:ascii="Times New Roman" w:hAnsi="Times New Roman" w:cs="Times New Roman"/>
          <w:sz w:val="24"/>
          <w:szCs w:val="24"/>
        </w:rPr>
        <w:t xml:space="preserve">) A méltányosság vizsgálata során figyelembe vehető szempontok: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proofErr w:type="gram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22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 családban az egy főre jutó jövedelem nem haladja meg az öregségi nyugdíj mindenkori legkisebb összegének 400%-át, vagy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A226F">
        <w:rPr>
          <w:rFonts w:ascii="Times New Roman" w:hAnsi="Times New Roman" w:cs="Times New Roman"/>
          <w:sz w:val="24"/>
          <w:szCs w:val="24"/>
        </w:rPr>
        <w:t>egyedülélő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 vagy egyedülálló,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A226F">
        <w:rPr>
          <w:rFonts w:ascii="Times New Roman" w:hAnsi="Times New Roman" w:cs="Times New Roman"/>
          <w:sz w:val="24"/>
          <w:szCs w:val="24"/>
        </w:rPr>
        <w:t xml:space="preserve">) aktív korú álláskeresők esetében: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AA22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A226F">
        <w:rPr>
          <w:rFonts w:ascii="Times New Roman" w:hAnsi="Times New Roman" w:cs="Times New Roman"/>
          <w:sz w:val="24"/>
          <w:szCs w:val="24"/>
        </w:rPr>
        <w:t xml:space="preserve">) illetékes munkaügyi kirendeltségen regisztráltatta magát és aktívan közreműködik elhelyezkedése érdekében vagy </w:t>
      </w: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A226F">
        <w:rPr>
          <w:rFonts w:ascii="Times New Roman" w:hAnsi="Times New Roman" w:cs="Times New Roman"/>
          <w:sz w:val="24"/>
          <w:szCs w:val="24"/>
        </w:rPr>
        <w:t xml:space="preserve">) méltányosság gyakorlására tárgyévben még nem került sor. </w:t>
      </w:r>
    </w:p>
    <w:p w:rsidR="00FB61FF" w:rsidRPr="00AA226F" w:rsidRDefault="00FB61FF" w:rsidP="008D3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Korlátozó rendelkezések</w:t>
      </w:r>
    </w:p>
    <w:p w:rsidR="00FB61FF" w:rsidRPr="00ED182C" w:rsidRDefault="00ED182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3E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331489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 xml:space="preserve">E rendeletben szabályozott ellátások közül egy család ugyanazon évben legfeljebb három, az Önkormányzat Képviselő-testületének hatáskörébe tartozó ellátási formában részesülhet. </w:t>
      </w:r>
    </w:p>
    <w:p w:rsidR="00FB61FF" w:rsidRDefault="00FB61FF" w:rsidP="00FB61F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FB61FF" w:rsidRPr="00AA226F" w:rsidRDefault="00FB61FF" w:rsidP="00FB61FF">
      <w:pPr>
        <w:spacing w:after="0" w:line="240" w:lineRule="auto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AA226F">
        <w:rPr>
          <w:rFonts w:ascii="Times New Roman" w:hAnsi="Times New Roman" w:cs="Times New Roman"/>
          <w:sz w:val="24"/>
          <w:szCs w:val="24"/>
        </w:rPr>
        <w:t>Záró és hatályba léptető rendelkezések</w:t>
      </w:r>
    </w:p>
    <w:p w:rsidR="00FB61FF" w:rsidRPr="00ED182C" w:rsidRDefault="008D3E3C" w:rsidP="00ED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D182C"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331489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331489" w:rsidRDefault="00FB61FF" w:rsidP="00FB61F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89">
        <w:rPr>
          <w:rFonts w:ascii="Times New Roman" w:hAnsi="Times New Roman" w:cs="Times New Roman"/>
          <w:sz w:val="24"/>
          <w:szCs w:val="24"/>
        </w:rPr>
        <w:t xml:space="preserve">Ez a rendelet a 2015. március 1. napján lép hatályba. </w:t>
      </w:r>
    </w:p>
    <w:p w:rsidR="00FB61FF" w:rsidRPr="00331489" w:rsidRDefault="00FB61FF" w:rsidP="00FB61F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89">
        <w:rPr>
          <w:rFonts w:ascii="Times New Roman" w:hAnsi="Times New Roman" w:cs="Times New Roman"/>
          <w:sz w:val="24"/>
          <w:szCs w:val="24"/>
        </w:rPr>
        <w:t xml:space="preserve">Hatályát veszti </w:t>
      </w:r>
      <w:r w:rsidRPr="00FF0CA7">
        <w:rPr>
          <w:rFonts w:ascii="Times New Roman" w:hAnsi="Times New Roman" w:cs="Times New Roman"/>
          <w:color w:val="FF0000"/>
          <w:sz w:val="24"/>
          <w:szCs w:val="24"/>
        </w:rPr>
        <w:t xml:space="preserve">a 4/2012. (II. 13.) </w:t>
      </w:r>
      <w:r w:rsidRPr="00331489">
        <w:rPr>
          <w:rFonts w:ascii="Times New Roman" w:hAnsi="Times New Roman" w:cs="Times New Roman"/>
          <w:sz w:val="24"/>
          <w:szCs w:val="24"/>
        </w:rPr>
        <w:t xml:space="preserve">önkormányzati rendelet a szociális ellátások helyi   </w:t>
      </w:r>
    </w:p>
    <w:p w:rsidR="00FB61FF" w:rsidRDefault="008D3E3C" w:rsidP="008D3E3C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szabályairól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182C" w:rsidRDefault="00ED182C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Pr="00ED182C" w:rsidRDefault="00ED182C" w:rsidP="00ED182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3E3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1FF" w:rsidRPr="00ED182C">
        <w:rPr>
          <w:rFonts w:ascii="Times New Roman" w:hAnsi="Times New Roman" w:cs="Times New Roman"/>
          <w:sz w:val="24"/>
          <w:szCs w:val="24"/>
        </w:rPr>
        <w:t>§</w:t>
      </w:r>
    </w:p>
    <w:p w:rsidR="00FB61FF" w:rsidRPr="00331489" w:rsidRDefault="00FB61FF" w:rsidP="00FB61F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ind w:left="-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31489">
        <w:rPr>
          <w:rFonts w:ascii="Times New Roman" w:hAnsi="Times New Roman" w:cs="Times New Roman"/>
          <w:sz w:val="24"/>
          <w:szCs w:val="24"/>
        </w:rPr>
        <w:t xml:space="preserve">A rendelet rendelkezéseit a hatályba lépését követően benyújtott kérelmek esetén kell </w:t>
      </w:r>
    </w:p>
    <w:p w:rsidR="00FB61FF" w:rsidRDefault="00FB61FF" w:rsidP="00FB61FF">
      <w:pPr>
        <w:spacing w:after="0" w:line="240" w:lineRule="auto"/>
        <w:ind w:left="-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31489">
        <w:rPr>
          <w:rFonts w:ascii="Times New Roman" w:hAnsi="Times New Roman" w:cs="Times New Roman"/>
          <w:sz w:val="24"/>
          <w:szCs w:val="24"/>
        </w:rPr>
        <w:t>alkalmazni</w:t>
      </w:r>
      <w:proofErr w:type="gramEnd"/>
      <w:r w:rsidRPr="00331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1FF" w:rsidRDefault="00FB61FF" w:rsidP="00FB61FF">
      <w:pPr>
        <w:spacing w:after="0" w:line="240" w:lineRule="auto"/>
        <w:ind w:left="-315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ind w:left="-315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ind w:left="-315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Veisz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József                                                     László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Piroska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jegyző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3C" w:rsidRDefault="008D3E3C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Á R A D É K :</w:t>
      </w:r>
      <w:bookmarkStart w:id="0" w:name="_GoBack"/>
      <w:bookmarkEnd w:id="0"/>
    </w:p>
    <w:p w:rsidR="008D3E3C" w:rsidRDefault="008D3E3C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 kihirdetve: 2015. 02.----</w:t>
      </w: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1FF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László Piroska </w:t>
      </w:r>
    </w:p>
    <w:p w:rsidR="00FB61FF" w:rsidRPr="00331489" w:rsidRDefault="00FB61FF" w:rsidP="00FB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FB61FF" w:rsidRPr="00AA226F" w:rsidRDefault="00FB61FF" w:rsidP="00FB61FF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902174" w:rsidRDefault="00902174"/>
    <w:sectPr w:rsidR="009021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92" w:rsidRDefault="00011E92">
      <w:pPr>
        <w:spacing w:after="0" w:line="240" w:lineRule="auto"/>
      </w:pPr>
      <w:r>
        <w:separator/>
      </w:r>
    </w:p>
  </w:endnote>
  <w:endnote w:type="continuationSeparator" w:id="0">
    <w:p w:rsidR="00011E92" w:rsidRDefault="0001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237243"/>
      <w:docPartObj>
        <w:docPartGallery w:val="Page Numbers (Bottom of Page)"/>
        <w:docPartUnique/>
      </w:docPartObj>
    </w:sdtPr>
    <w:sdtEndPr/>
    <w:sdtContent>
      <w:p w:rsidR="0069744B" w:rsidRDefault="00FB61F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E3C">
          <w:rPr>
            <w:noProof/>
          </w:rPr>
          <w:t>7</w:t>
        </w:r>
        <w:r>
          <w:fldChar w:fldCharType="end"/>
        </w:r>
      </w:p>
    </w:sdtContent>
  </w:sdt>
  <w:p w:rsidR="0069744B" w:rsidRDefault="00011E9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92" w:rsidRDefault="00011E92">
      <w:pPr>
        <w:spacing w:after="0" w:line="240" w:lineRule="auto"/>
      </w:pPr>
      <w:r>
        <w:separator/>
      </w:r>
    </w:p>
  </w:footnote>
  <w:footnote w:type="continuationSeparator" w:id="0">
    <w:p w:rsidR="00011E92" w:rsidRDefault="00011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27F0"/>
    <w:multiLevelType w:val="hybridMultilevel"/>
    <w:tmpl w:val="89BEB25C"/>
    <w:lvl w:ilvl="0" w:tplc="C8F4EC6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12A"/>
    <w:multiLevelType w:val="hybridMultilevel"/>
    <w:tmpl w:val="230E40FC"/>
    <w:lvl w:ilvl="0" w:tplc="497A39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6CC5414"/>
    <w:multiLevelType w:val="hybridMultilevel"/>
    <w:tmpl w:val="5284EF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9143D"/>
    <w:multiLevelType w:val="hybridMultilevel"/>
    <w:tmpl w:val="AD8679D8"/>
    <w:lvl w:ilvl="0" w:tplc="24FC403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4034092"/>
    <w:multiLevelType w:val="hybridMultilevel"/>
    <w:tmpl w:val="60AC0FD0"/>
    <w:lvl w:ilvl="0" w:tplc="C85E6F6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FF"/>
    <w:rsid w:val="00011E92"/>
    <w:rsid w:val="0040540D"/>
    <w:rsid w:val="008D3E3C"/>
    <w:rsid w:val="00902174"/>
    <w:rsid w:val="00ED182C"/>
    <w:rsid w:val="00F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DC5BA-3BF6-429D-9AA8-1245E63D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61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61F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B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61FF"/>
  </w:style>
  <w:style w:type="paragraph" w:styleId="Buborkszveg">
    <w:name w:val="Balloon Text"/>
    <w:basedOn w:val="Norml"/>
    <w:link w:val="BuborkszvegChar"/>
    <w:uiPriority w:val="99"/>
    <w:semiHidden/>
    <w:unhideWhenUsed/>
    <w:rsid w:val="008D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3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EA3E-0338-4C65-B3CB-25D9ED3B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2061</Words>
  <Characters>14221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Gelse Önkormányzat</dc:creator>
  <cp:keywords/>
  <dc:description/>
  <cp:lastModifiedBy>Gelse Önkormányzat</cp:lastModifiedBy>
  <cp:revision>4</cp:revision>
  <cp:lastPrinted>2015-02-26T14:57:00Z</cp:lastPrinted>
  <dcterms:created xsi:type="dcterms:W3CDTF">2015-02-17T07:33:00Z</dcterms:created>
  <dcterms:modified xsi:type="dcterms:W3CDTF">2015-02-26T14:58:00Z</dcterms:modified>
</cp:coreProperties>
</file>