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0B" w:rsidRPr="00A479C8" w:rsidRDefault="00C8540B" w:rsidP="00C8540B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A479C8">
        <w:rPr>
          <w:rFonts w:ascii="Arial" w:hAnsi="Arial" w:cs="Arial"/>
          <w:b/>
          <w:sz w:val="24"/>
          <w:szCs w:val="24"/>
        </w:rPr>
        <w:t xml:space="preserve">. </w:t>
      </w:r>
      <w:r w:rsidRPr="00A479C8">
        <w:rPr>
          <w:rFonts w:ascii="Arial" w:hAnsi="Arial" w:cs="Arial"/>
          <w:b/>
          <w:bCs/>
          <w:sz w:val="24"/>
          <w:szCs w:val="24"/>
        </w:rPr>
        <w:t>melléklet</w:t>
      </w:r>
    </w:p>
    <w:p w:rsidR="00C8540B" w:rsidRPr="00A479C8" w:rsidRDefault="00C8540B" w:rsidP="00C8540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A479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A479C8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A479C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A479C8">
        <w:rPr>
          <w:rFonts w:ascii="Arial" w:hAnsi="Arial" w:cs="Arial"/>
          <w:b/>
          <w:bCs/>
          <w:sz w:val="24"/>
          <w:szCs w:val="24"/>
        </w:rPr>
        <w:t>/2019. (XII</w:t>
      </w:r>
      <w:r>
        <w:rPr>
          <w:rFonts w:ascii="Arial" w:hAnsi="Arial" w:cs="Arial"/>
          <w:b/>
          <w:bCs/>
          <w:sz w:val="24"/>
          <w:szCs w:val="24"/>
        </w:rPr>
        <w:t>.13.</w:t>
      </w:r>
      <w:r w:rsidRPr="00A479C8">
        <w:rPr>
          <w:rFonts w:ascii="Arial" w:hAnsi="Arial" w:cs="Arial"/>
          <w:b/>
          <w:bCs/>
          <w:sz w:val="24"/>
          <w:szCs w:val="24"/>
        </w:rPr>
        <w:t>) önkormányzati rendelethez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center"/>
        <w:rPr>
          <w:rFonts w:ascii="Arial" w:hAnsi="Arial" w:cs="Arial"/>
          <w:b/>
          <w:kern w:val="0"/>
          <w:sz w:val="24"/>
          <w:szCs w:val="24"/>
        </w:rPr>
      </w:pPr>
      <w:r w:rsidRPr="00A479C8">
        <w:rPr>
          <w:rFonts w:ascii="Arial" w:hAnsi="Arial" w:cs="Arial"/>
          <w:b/>
          <w:kern w:val="0"/>
          <w:sz w:val="24"/>
          <w:szCs w:val="24"/>
        </w:rPr>
        <w:t>A megyei önkormányzat részvételével működő térségi fejlesztési tanácsok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center"/>
        <w:rPr>
          <w:rFonts w:ascii="Arial" w:hAnsi="Arial" w:cs="Arial"/>
          <w:b/>
          <w:kern w:val="0"/>
          <w:sz w:val="24"/>
          <w:szCs w:val="24"/>
        </w:rPr>
      </w:pPr>
      <w:r w:rsidRPr="00A479C8">
        <w:rPr>
          <w:rFonts w:ascii="Arial" w:hAnsi="Arial" w:cs="Arial"/>
          <w:b/>
          <w:kern w:val="0"/>
          <w:sz w:val="24"/>
          <w:szCs w:val="24"/>
        </w:rPr>
        <w:t>I.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  <w:u w:val="single"/>
        </w:rPr>
        <w:t>Velencei-tó és Térsége, Váli-völgy, Vértes Térségi Fejlesztési Tanács</w:t>
      </w:r>
      <w:r w:rsidRPr="00A479C8">
        <w:rPr>
          <w:rFonts w:ascii="Arial" w:hAnsi="Arial" w:cs="Arial"/>
          <w:b/>
          <w:kern w:val="0"/>
          <w:sz w:val="24"/>
          <w:szCs w:val="24"/>
        </w:rPr>
        <w:t xml:space="preserve">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kern w:val="0"/>
          <w:sz w:val="24"/>
          <w:szCs w:val="24"/>
        </w:rPr>
      </w:pPr>
      <w:r w:rsidRPr="00A479C8">
        <w:rPr>
          <w:rFonts w:ascii="Arial" w:hAnsi="Arial" w:cs="Arial"/>
          <w:b/>
          <w:kern w:val="0"/>
          <w:sz w:val="24"/>
          <w:szCs w:val="24"/>
        </w:rPr>
        <w:t xml:space="preserve">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1. A Fejér Megyei Önkormányzat a Komárom-Esztergom Megyei Önkormányzattal közösen – a területfejlesztésről és területrendezésről szóló 1996. évi XXI. törvény (a továbbiakban: </w:t>
      </w:r>
      <w:proofErr w:type="spellStart"/>
      <w:r w:rsidRPr="00A479C8">
        <w:rPr>
          <w:rFonts w:ascii="Arial" w:hAnsi="Arial" w:cs="Arial"/>
          <w:kern w:val="0"/>
          <w:sz w:val="24"/>
          <w:szCs w:val="24"/>
        </w:rPr>
        <w:t>Tftv</w:t>
      </w:r>
      <w:proofErr w:type="spellEnd"/>
      <w:r w:rsidRPr="00A479C8">
        <w:rPr>
          <w:rFonts w:ascii="Arial" w:hAnsi="Arial" w:cs="Arial"/>
          <w:kern w:val="0"/>
          <w:sz w:val="24"/>
          <w:szCs w:val="24"/>
        </w:rPr>
        <w:t xml:space="preserve">.) 15. § (1) bekezdésében foglaltak alapján a 2000. november 03. napján megkötött megállapodással létrehozott Velencei-tó – Vértes Térségi Fejlesztési Tanácsot Velencei-tó és Térsége, Váli-völgy, Vértes Térségi Fejlesztési Tanács (a továbbiakban: Tanács) néven továbbműködteti.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2. A térségi fejlesztési tanács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proofErr w:type="gramStart"/>
      <w:r w:rsidRPr="00A479C8">
        <w:rPr>
          <w:rFonts w:ascii="Arial" w:hAnsi="Arial" w:cs="Arial"/>
          <w:kern w:val="0"/>
          <w:sz w:val="24"/>
          <w:szCs w:val="24"/>
        </w:rPr>
        <w:t>a</w:t>
      </w:r>
      <w:proofErr w:type="gramEnd"/>
      <w:r w:rsidRPr="00A479C8">
        <w:rPr>
          <w:rFonts w:ascii="Arial" w:hAnsi="Arial" w:cs="Arial"/>
          <w:kern w:val="0"/>
          <w:sz w:val="24"/>
          <w:szCs w:val="24"/>
        </w:rPr>
        <w:t xml:space="preserve">.) elnevezése: Velencei-tó és Térsége, Váli-völgy, Vértes Térségi Fejlesztési Tanács (rövidítése: VVVTFT)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b.) székhelye:2484 Agárd Tópart u. 17.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3. A Velencei-tó és Térsége, Váli-völgy, Vértes Térségi Fejlesztési Tanács működési területe: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ind w:left="709"/>
        <w:jc w:val="both"/>
        <w:rPr>
          <w:rFonts w:ascii="Arial" w:hAnsi="Arial" w:cs="Arial"/>
          <w:i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3.1. Fejér Megye térségéből: </w:t>
      </w:r>
      <w:r w:rsidRPr="00A479C8">
        <w:rPr>
          <w:rFonts w:ascii="Arial" w:hAnsi="Arial" w:cs="Arial"/>
          <w:i/>
          <w:kern w:val="0"/>
          <w:sz w:val="24"/>
          <w:szCs w:val="24"/>
        </w:rPr>
        <w:t xml:space="preserve">Alcsútdoboz, Bakonycsernye, Baracska, Bicske, Bodajk, Bodmér, Csabdi, Csákberény, Csákvár, Csókakő, Etyek, Felcsút, Gánt, Gárdony, Gyúró, Kajászó, Kápolnásnyék, Lovasberény, Magyaralmás, Martonvásár, Mór, Nadap, Pákozd, Pátka, Pázmánd, Pusztavám, Sukoró, Szár, Tabajd, Tordas, Vál, Velence, Vereb, Vértesacsa, Vértesboglár, Zámoly és Zichyújfalu.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ind w:left="709"/>
        <w:jc w:val="both"/>
        <w:rPr>
          <w:rFonts w:ascii="Arial" w:hAnsi="Arial" w:cs="Arial"/>
          <w:i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3.2.Komárom-Esztergom Megye térségéből: </w:t>
      </w:r>
      <w:r w:rsidRPr="00A479C8">
        <w:rPr>
          <w:rFonts w:ascii="Arial" w:hAnsi="Arial" w:cs="Arial"/>
          <w:i/>
          <w:kern w:val="0"/>
          <w:sz w:val="24"/>
          <w:szCs w:val="24"/>
        </w:rPr>
        <w:t xml:space="preserve">Bajót, Bokod, Héreg, Nyergesújfalu, Oroszlány, Szárliget, Tarján, Várgesztes, Vértessomló. </w:t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479C8">
        <w:rPr>
          <w:rFonts w:ascii="Arial" w:hAnsi="Arial" w:cs="Arial"/>
          <w:kern w:val="0"/>
          <w:sz w:val="24"/>
          <w:szCs w:val="24"/>
        </w:rPr>
        <w:t xml:space="preserve">  </w:t>
      </w:r>
    </w:p>
    <w:p w:rsidR="003833B4" w:rsidRPr="003833B4" w:rsidRDefault="003833B4" w:rsidP="003833B4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Cs/>
          <w:iCs/>
          <w:kern w:val="0"/>
          <w:sz w:val="24"/>
          <w:szCs w:val="24"/>
        </w:rPr>
      </w:pPr>
      <w:r w:rsidRPr="003833B4">
        <w:rPr>
          <w:rFonts w:ascii="Arial" w:hAnsi="Arial" w:cs="Arial"/>
          <w:bCs/>
          <w:iCs/>
          <w:kern w:val="0"/>
          <w:sz w:val="24"/>
          <w:szCs w:val="24"/>
        </w:rPr>
        <w:t>4. A Tanács a működési területe (a továbbiakban: térség) vonatkozásában az alábbi feladatokat látja el:</w:t>
      </w:r>
    </w:p>
    <w:p w:rsidR="003833B4" w:rsidRPr="003833B4" w:rsidRDefault="003833B4" w:rsidP="003833B4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Cs/>
          <w:iCs/>
          <w:kern w:val="0"/>
          <w:sz w:val="24"/>
          <w:szCs w:val="24"/>
        </w:rPr>
      </w:pPr>
    </w:p>
    <w:p w:rsidR="003833B4" w:rsidRPr="003833B4" w:rsidRDefault="003833B4" w:rsidP="003833B4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 xml:space="preserve">A </w:t>
      </w:r>
      <w:proofErr w:type="spellStart"/>
      <w:r w:rsidRPr="003833B4">
        <w:rPr>
          <w:rFonts w:ascii="Arial" w:hAnsi="Arial" w:cs="Arial"/>
          <w:iCs/>
          <w:kern w:val="0"/>
          <w:sz w:val="24"/>
          <w:szCs w:val="24"/>
        </w:rPr>
        <w:t>Tftv</w:t>
      </w:r>
      <w:proofErr w:type="spellEnd"/>
      <w:r w:rsidRPr="003833B4">
        <w:rPr>
          <w:rFonts w:ascii="Arial" w:hAnsi="Arial" w:cs="Arial"/>
          <w:iCs/>
          <w:kern w:val="0"/>
          <w:sz w:val="24"/>
          <w:szCs w:val="24"/>
        </w:rPr>
        <w:t>. 16. § (6) bekezdése alapján</w:t>
      </w:r>
    </w:p>
    <w:p w:rsidR="003833B4" w:rsidRPr="003833B4" w:rsidRDefault="003833B4" w:rsidP="003833B4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 xml:space="preserve">a) </w:t>
      </w:r>
      <w:proofErr w:type="gramStart"/>
      <w:r w:rsidRPr="003833B4">
        <w:rPr>
          <w:rFonts w:ascii="Arial" w:hAnsi="Arial" w:cs="Arial"/>
          <w:iCs/>
          <w:kern w:val="0"/>
          <w:sz w:val="24"/>
          <w:szCs w:val="24"/>
        </w:rPr>
        <w:t>vizsgálja</w:t>
      </w:r>
      <w:proofErr w:type="gramEnd"/>
      <w:r w:rsidRPr="003833B4">
        <w:rPr>
          <w:rFonts w:ascii="Arial" w:hAnsi="Arial" w:cs="Arial"/>
          <w:iCs/>
          <w:kern w:val="0"/>
          <w:sz w:val="24"/>
          <w:szCs w:val="24"/>
        </w:rPr>
        <w:t xml:space="preserve"> és legalább kétévente értékeli a térség társadalmi és gazdasági helyzetét, környezeti állapotát, adottságait, azonosítja fejlesztési igényeit, és a vizsgálatok eredményét nyilvánossá teszi;</w:t>
      </w:r>
    </w:p>
    <w:p w:rsidR="003833B4" w:rsidRPr="003833B4" w:rsidRDefault="003833B4" w:rsidP="003833B4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b) az országos fejlesztési és területfejlesztési koncepcióval összhangban kidolgozza térség területfejlesztési koncepcióját és programját;</w:t>
      </w:r>
    </w:p>
    <w:p w:rsidR="003833B4" w:rsidRPr="003833B4" w:rsidRDefault="003833B4" w:rsidP="003833B4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c) megállapodást köthet az érintett miniszterekkel a térségi fejlesztési program finanszírozásáról,</w:t>
      </w:r>
    </w:p>
    <w:p w:rsidR="003833B4" w:rsidRPr="003833B4" w:rsidRDefault="003833B4" w:rsidP="003833B4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lastRenderedPageBreak/>
        <w:t>d) figyelemmel kíséri az operatív programok térséget érintő feladatainak végrehajtását, erre irányuló kormányzati döntés esetén közreműködik az operatív programok térséget érintő feladatainak végrehajtásában,</w:t>
      </w:r>
    </w:p>
    <w:p w:rsidR="003833B4" w:rsidRPr="003833B4" w:rsidRDefault="003833B4" w:rsidP="003833B4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  <w:iCs/>
          <w:kern w:val="0"/>
          <w:sz w:val="24"/>
          <w:szCs w:val="24"/>
        </w:rPr>
      </w:pPr>
      <w:proofErr w:type="gramStart"/>
      <w:r w:rsidRPr="003833B4">
        <w:rPr>
          <w:rFonts w:ascii="Arial" w:hAnsi="Arial" w:cs="Arial"/>
          <w:iCs/>
          <w:kern w:val="0"/>
          <w:sz w:val="24"/>
          <w:szCs w:val="24"/>
        </w:rPr>
        <w:t>e</w:t>
      </w:r>
      <w:proofErr w:type="gramEnd"/>
      <w:r w:rsidRPr="003833B4">
        <w:rPr>
          <w:rFonts w:ascii="Arial" w:hAnsi="Arial" w:cs="Arial"/>
          <w:iCs/>
          <w:kern w:val="0"/>
          <w:sz w:val="24"/>
          <w:szCs w:val="24"/>
        </w:rPr>
        <w:t>) előzetesen véleményezi az illetékességi területe szerinti megyék területfejlesztési koncepcióját és programját.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Összehangolja a kormányzat és a helyi önkormányzatok térséget érintő fejlesztési tevékenységét.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Elősegíti a térséget érintő fejlesztési programok kidolgozását és megvalósítását.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A térség fejlődésének elősegítése, valamint a térséghatáron túlterjedő egyes területfejlesztési feladatok ellátása érdekében részt vesz hazai és nemzetközi együttműködésekben, projektek előkészítésében és megvalósításában.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Kialakítja együttműködési kapcsolatrendszerét.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Kiemelt figyelmet fordít térsége gazdasági erőforrásainak, valamint környezetállapotának fejlesztésére.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Elősegíti térsége fejlesztésében érdekelt állami, önkormányzati, vállalkozói és civil szereplők együttműködését, a területfejlesztési feladatok összehangolását.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 xml:space="preserve">Hozzájárul térsége vonatkozásában az ott élők életfeltételeinek javításához, a humán erőforrások fejlesztéséhez, térségi identitás fenntartásához. 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Elősegíti a korszerű, nemzetközi területfejlesztési gyakorlat megismerését és a területfejlesztési politika széleskörű alkalmazását.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Kiemelt figyelmet fordít térsége fejlesztését lehetővé tevő nemzetközi és hazai erőforrások feltárására, a befektetések ösztönzésére, elősegítésére.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Közreműködik a térségre vonatkozó gazdasági és társadalomszervező döntések összehangolásában.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Elősegíti térsége vonatkozásában az egységes, komplex társadalmi-gazdasági kezelést.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 xml:space="preserve">Közreműködik a térségben kialakult társadalmi, gazdasági és ökológiai válsághelyzetek kezelésében. 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 xml:space="preserve">Felkérés esetén részt vesz a működési területére vonatkozó jogszabályok előkészítésében. 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 xml:space="preserve">Figyelemmel kíséri a térséget érintő tudományos kutatások eredményeit, alkalmazásukat elősegíti. 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Elfogadja szervezeti és működési szabályzatát, egyéb belső szabályzatait.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Kialakítja éves munkatervét.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Elkészíti és elfogadja éves költségvetését, valamint a végrehajtásáról szóló, jogszabályban meghatározott beszámolót.</w:t>
      </w:r>
    </w:p>
    <w:p w:rsidR="003833B4" w:rsidRPr="003833B4" w:rsidRDefault="003833B4" w:rsidP="003833B4">
      <w:pPr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Cs/>
          <w:kern w:val="0"/>
          <w:sz w:val="24"/>
          <w:szCs w:val="24"/>
        </w:rPr>
      </w:pPr>
      <w:r w:rsidRPr="003833B4">
        <w:rPr>
          <w:rFonts w:ascii="Arial" w:hAnsi="Arial" w:cs="Arial"/>
          <w:iCs/>
          <w:kern w:val="0"/>
          <w:sz w:val="24"/>
          <w:szCs w:val="24"/>
        </w:rPr>
        <w:t>Elfogad</w:t>
      </w:r>
      <w:r>
        <w:rPr>
          <w:rFonts w:ascii="Arial" w:hAnsi="Arial" w:cs="Arial"/>
          <w:iCs/>
          <w:kern w:val="0"/>
          <w:sz w:val="24"/>
          <w:szCs w:val="24"/>
        </w:rPr>
        <w:t>ja a munkaszervezet ügyrendjét.</w:t>
      </w:r>
    </w:p>
    <w:p w:rsidR="003833B4" w:rsidRPr="003833B4" w:rsidRDefault="003833B4" w:rsidP="003833B4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i/>
          <w:kern w:val="0"/>
          <w:sz w:val="24"/>
          <w:szCs w:val="24"/>
        </w:rPr>
      </w:pP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:rsidR="00C8540B" w:rsidRDefault="00C8540B">
      <w:pPr>
        <w:widowControl/>
        <w:overflowPunct/>
        <w:autoSpaceDE/>
        <w:autoSpaceDN/>
        <w:adjustRightInd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br w:type="page"/>
      </w:r>
    </w:p>
    <w:p w:rsidR="00C8540B" w:rsidRPr="00A479C8" w:rsidRDefault="00C8540B" w:rsidP="00C8540B">
      <w:pPr>
        <w:widowControl/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center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b/>
          <w:color w:val="000000"/>
          <w:kern w:val="0"/>
          <w:sz w:val="24"/>
          <w:szCs w:val="24"/>
        </w:rPr>
        <w:t>II.</w:t>
      </w: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  <w:u w:val="single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Közép-Duna Menti Fejlesztési Tanács </w:t>
      </w: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3833B4" w:rsidRPr="003833B4" w:rsidRDefault="003833B4" w:rsidP="003833B4">
      <w:pPr>
        <w:widowControl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A területfejlesztésről és területrendezésről szóló – módosított – 1996. évi XXI. törvény (továbbiakban: </w:t>
      </w:r>
      <w:proofErr w:type="spellStart"/>
      <w:r w:rsidRPr="003833B4">
        <w:rPr>
          <w:rFonts w:ascii="Arial" w:hAnsi="Arial" w:cs="Arial"/>
          <w:color w:val="000000"/>
          <w:kern w:val="0"/>
          <w:sz w:val="24"/>
          <w:szCs w:val="24"/>
        </w:rPr>
        <w:t>Tftv</w:t>
      </w:r>
      <w:proofErr w:type="spellEnd"/>
      <w:r w:rsidRPr="003833B4">
        <w:rPr>
          <w:rFonts w:ascii="Arial" w:hAnsi="Arial" w:cs="Arial"/>
          <w:color w:val="000000"/>
          <w:kern w:val="0"/>
          <w:sz w:val="24"/>
          <w:szCs w:val="24"/>
        </w:rPr>
        <w:t>.) 17. § (4) bekezdés a) pontja alapján a Fejér Megyei Önkormányzat tagja a Közép-Duna Menti Fejlesztési Tanácsnak (továbbiakban: Tanács).</w:t>
      </w:r>
      <w:bookmarkStart w:id="0" w:name="_GoBack"/>
      <w:bookmarkEnd w:id="0"/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3833B4" w:rsidRPr="003833B4" w:rsidRDefault="003833B4" w:rsidP="003833B4">
      <w:pPr>
        <w:widowControl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A térségi fejlesztési tanács</w:t>
      </w: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 w:rsidRPr="003833B4">
        <w:rPr>
          <w:rFonts w:ascii="Arial" w:hAnsi="Arial" w:cs="Arial"/>
          <w:color w:val="000000"/>
          <w:kern w:val="0"/>
          <w:sz w:val="24"/>
          <w:szCs w:val="24"/>
        </w:rPr>
        <w:t>elnevezése</w:t>
      </w:r>
      <w:proofErr w:type="gramEnd"/>
      <w:r w:rsidRPr="003833B4">
        <w:rPr>
          <w:rFonts w:ascii="Arial" w:hAnsi="Arial" w:cs="Arial"/>
          <w:color w:val="000000"/>
          <w:kern w:val="0"/>
          <w:sz w:val="24"/>
          <w:szCs w:val="24"/>
        </w:rPr>
        <w:t>: Közép-Duna Menti Fejlesztési Tanács</w:t>
      </w: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 w:rsidRPr="003833B4">
        <w:rPr>
          <w:rFonts w:ascii="Arial" w:hAnsi="Arial" w:cs="Arial"/>
          <w:color w:val="000000"/>
          <w:kern w:val="0"/>
          <w:sz w:val="24"/>
          <w:szCs w:val="24"/>
        </w:rPr>
        <w:t>székhelye</w:t>
      </w:r>
      <w:proofErr w:type="gramEnd"/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: 7020 Dunaföldvár, Kossuth Lajos utca 2. </w:t>
      </w: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3833B4" w:rsidRPr="003833B4" w:rsidRDefault="003833B4" w:rsidP="003833B4">
      <w:pPr>
        <w:widowControl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A Tanács működési területét a Tanács szervezeti és működési szabályzatának 1. mellékletében szereplő 99 település közigazgatási határa által lefedett térség képezi.</w:t>
      </w: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3833B4" w:rsidRPr="003833B4" w:rsidRDefault="003833B4" w:rsidP="003833B4">
      <w:pPr>
        <w:widowControl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A Tanács működési területe (a továbbiakban térség) vonatkozásában az alábbi feladatokat látja el:</w:t>
      </w:r>
    </w:p>
    <w:p w:rsidR="003833B4" w:rsidRPr="003833B4" w:rsidRDefault="003833B4" w:rsidP="003833B4">
      <w:pPr>
        <w:widowControl/>
        <w:tabs>
          <w:tab w:val="left" w:pos="284"/>
        </w:tabs>
        <w:overflowPunct/>
        <w:autoSpaceDE/>
        <w:autoSpaceDN/>
        <w:adjustRightInd/>
        <w:ind w:left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A </w:t>
      </w:r>
      <w:proofErr w:type="spellStart"/>
      <w:r w:rsidRPr="003833B4">
        <w:rPr>
          <w:rFonts w:ascii="Arial" w:hAnsi="Arial" w:cs="Arial"/>
          <w:color w:val="000000"/>
          <w:kern w:val="0"/>
          <w:sz w:val="24"/>
          <w:szCs w:val="24"/>
        </w:rPr>
        <w:t>Tftv</w:t>
      </w:r>
      <w:proofErr w:type="spellEnd"/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. 16. § (6) bekezdése és a 17. §. (7) bekezdése alapján </w:t>
      </w:r>
    </w:p>
    <w:p w:rsidR="003833B4" w:rsidRPr="003833B4" w:rsidRDefault="003833B4" w:rsidP="003833B4">
      <w:pPr>
        <w:widowControl/>
        <w:tabs>
          <w:tab w:val="left" w:pos="851"/>
        </w:tabs>
        <w:overflowPunct/>
        <w:autoSpaceDE/>
        <w:autoSpaceDN/>
        <w:adjustRightInd/>
        <w:ind w:left="1418" w:hanging="284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a)</w:t>
      </w:r>
      <w:r w:rsidRPr="003833B4">
        <w:rPr>
          <w:rFonts w:ascii="Arial" w:hAnsi="Arial" w:cs="Arial"/>
          <w:color w:val="000000"/>
          <w:kern w:val="0"/>
          <w:sz w:val="24"/>
          <w:szCs w:val="24"/>
        </w:rPr>
        <w:tab/>
      </w:r>
      <w:proofErr w:type="gramStart"/>
      <w:r w:rsidRPr="003833B4">
        <w:rPr>
          <w:rFonts w:ascii="Arial" w:hAnsi="Arial" w:cs="Arial"/>
          <w:color w:val="000000"/>
          <w:kern w:val="0"/>
          <w:sz w:val="24"/>
          <w:szCs w:val="24"/>
        </w:rPr>
        <w:t>vizsgálja</w:t>
      </w:r>
      <w:proofErr w:type="gramEnd"/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 és legalább kétévente értékeli a kiemelt térség társadalmi és gazdasági helyzetét, környezeti állapotát, adottságait, azonosítja fejlesztési igényeit, és a vizsgálatok eredményét nyilvánossá teszi;</w:t>
      </w:r>
    </w:p>
    <w:p w:rsidR="003833B4" w:rsidRPr="003833B4" w:rsidRDefault="003833B4" w:rsidP="003833B4">
      <w:pPr>
        <w:widowControl/>
        <w:tabs>
          <w:tab w:val="left" w:pos="851"/>
        </w:tabs>
        <w:overflowPunct/>
        <w:autoSpaceDE/>
        <w:autoSpaceDN/>
        <w:adjustRightInd/>
        <w:ind w:left="1418" w:hanging="284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b) </w:t>
      </w:r>
      <w:r w:rsidRPr="003833B4">
        <w:rPr>
          <w:rFonts w:ascii="Arial" w:hAnsi="Arial" w:cs="Arial"/>
          <w:color w:val="000000"/>
          <w:kern w:val="0"/>
          <w:sz w:val="24"/>
          <w:szCs w:val="24"/>
        </w:rPr>
        <w:tab/>
        <w:t>az országos fejlesztési és területfejlesztési koncepcióval összhangban kidolgozza és a területfejlesztés stratégiai tervezéséért felelős miniszter útján a Kormánynak elfogadásra benyújtja a kiemelt térség területfejlesztési koncepcióját;</w:t>
      </w:r>
    </w:p>
    <w:p w:rsidR="003833B4" w:rsidRPr="003833B4" w:rsidRDefault="003833B4" w:rsidP="003833B4">
      <w:pPr>
        <w:widowControl/>
        <w:tabs>
          <w:tab w:val="left" w:pos="851"/>
        </w:tabs>
        <w:overflowPunct/>
        <w:autoSpaceDE/>
        <w:autoSpaceDN/>
        <w:adjustRightInd/>
        <w:ind w:left="1418" w:hanging="284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c) </w:t>
      </w:r>
      <w:r w:rsidRPr="003833B4">
        <w:rPr>
          <w:rFonts w:ascii="Arial" w:hAnsi="Arial" w:cs="Arial"/>
          <w:color w:val="000000"/>
          <w:kern w:val="0"/>
          <w:sz w:val="24"/>
          <w:szCs w:val="24"/>
        </w:rPr>
        <w:tab/>
        <w:t>irányítja a térség területfejlesztési programjának végrehajtását;</w:t>
      </w:r>
    </w:p>
    <w:p w:rsidR="003833B4" w:rsidRPr="003833B4" w:rsidRDefault="003833B4" w:rsidP="003833B4">
      <w:pPr>
        <w:widowControl/>
        <w:tabs>
          <w:tab w:val="left" w:pos="851"/>
        </w:tabs>
        <w:overflowPunct/>
        <w:autoSpaceDE/>
        <w:autoSpaceDN/>
        <w:adjustRightInd/>
        <w:ind w:left="1418" w:hanging="284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d) </w:t>
      </w:r>
      <w:r w:rsidRPr="003833B4">
        <w:rPr>
          <w:rFonts w:ascii="Arial" w:hAnsi="Arial" w:cs="Arial"/>
          <w:color w:val="000000"/>
          <w:kern w:val="0"/>
          <w:sz w:val="24"/>
          <w:szCs w:val="24"/>
        </w:rPr>
        <w:tab/>
        <w:t>előzetesen véleményezi az országos, valamint a kiemelt térséget érintő ágazati fejlesztési koncepciókat és programokat, valamint az illetékességi területe szerinti megyék területfejlesztési koncepcióját és programját,</w:t>
      </w:r>
    </w:p>
    <w:p w:rsidR="003833B4" w:rsidRPr="003833B4" w:rsidRDefault="003833B4" w:rsidP="003833B4">
      <w:pPr>
        <w:widowControl/>
        <w:tabs>
          <w:tab w:val="left" w:pos="851"/>
        </w:tabs>
        <w:overflowPunct/>
        <w:autoSpaceDE/>
        <w:autoSpaceDN/>
        <w:adjustRightInd/>
        <w:ind w:left="1418" w:hanging="284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 w:rsidRPr="003833B4">
        <w:rPr>
          <w:rFonts w:ascii="Arial" w:hAnsi="Arial" w:cs="Arial"/>
          <w:color w:val="000000"/>
          <w:kern w:val="0"/>
          <w:sz w:val="24"/>
          <w:szCs w:val="24"/>
        </w:rPr>
        <w:t>e</w:t>
      </w:r>
      <w:proofErr w:type="gramEnd"/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) </w:t>
      </w:r>
      <w:r w:rsidRPr="003833B4">
        <w:rPr>
          <w:rFonts w:ascii="Arial" w:hAnsi="Arial" w:cs="Arial"/>
          <w:color w:val="000000"/>
          <w:kern w:val="0"/>
          <w:sz w:val="24"/>
          <w:szCs w:val="24"/>
        </w:rPr>
        <w:tab/>
        <w:t>figyelemmel kíséri az operatív programok térséget érintő feladatainak végrehajtását, erre irányuló kormányzati döntés esetén közreműködik az operatív programok térséget érintő feladatainak végrehajtásában,</w:t>
      </w:r>
    </w:p>
    <w:p w:rsidR="003833B4" w:rsidRPr="003833B4" w:rsidRDefault="003833B4" w:rsidP="003833B4">
      <w:pPr>
        <w:widowControl/>
        <w:tabs>
          <w:tab w:val="left" w:pos="851"/>
        </w:tabs>
        <w:overflowPunct/>
        <w:autoSpaceDE/>
        <w:autoSpaceDN/>
        <w:adjustRightInd/>
        <w:ind w:left="1418" w:hanging="284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 w:rsidRPr="003833B4">
        <w:rPr>
          <w:rFonts w:ascii="Arial" w:hAnsi="Arial" w:cs="Arial"/>
          <w:color w:val="000000"/>
          <w:kern w:val="0"/>
          <w:sz w:val="24"/>
          <w:szCs w:val="24"/>
        </w:rPr>
        <w:t>f</w:t>
      </w:r>
      <w:proofErr w:type="gramEnd"/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) </w:t>
      </w:r>
      <w:r w:rsidRPr="003833B4">
        <w:rPr>
          <w:rFonts w:ascii="Arial" w:hAnsi="Arial" w:cs="Arial"/>
          <w:color w:val="000000"/>
          <w:kern w:val="0"/>
          <w:sz w:val="24"/>
          <w:szCs w:val="24"/>
        </w:rPr>
        <w:tab/>
        <w:t>dönt a hatáskörébe utalt pénzeszközök felhasználásáról.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Összehangolja a kormányzat és a helyi önkormányzatok térséget érintő fejlesztési tevékenységét.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Elősegíti a térséget érintő fejlesztési programok kidolgozását és megvalósítását.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A térség fejlődésének elősegítése, valamint a térséghatáron túlterjedő egyes területfejlesztési feladatok ellátása érdekében részt vesz hazai és nemzetközi együttműködésekben, projektek előkészítésében és megvalósításában.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Közreműködik a térségben kialakult társadalmi, gazdasági és ökológiai válsághelyzetek kezelésében. 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 xml:space="preserve">Felkérés esetén részt vesz a működési területére vonatkozó jogszabályok előkészítésében. 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Figyelemmel kíséri a térséget érintő tudományos kutatások eredményeit, alkalmazásukat elősegíti. 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Elfogadja szervezeti és működési szabályzatát, egyéb belső szabályzatait.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Kialakítja éves munkatervét.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Elkészíti és elfogadja éves költségvetését, valamint a végrehajtásáról szóló, jogszabályban meghatározott beszámolót.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Gyakorolja a munkáltatói jogokat a munkaszervezet vezetője felett.</w:t>
      </w:r>
    </w:p>
    <w:p w:rsidR="003833B4" w:rsidRPr="003833B4" w:rsidRDefault="003833B4" w:rsidP="003833B4">
      <w:pPr>
        <w:widowControl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1134"/>
        <w:contextualSpacing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833B4">
        <w:rPr>
          <w:rFonts w:ascii="Arial" w:hAnsi="Arial" w:cs="Arial"/>
          <w:color w:val="000000"/>
          <w:kern w:val="0"/>
          <w:sz w:val="24"/>
          <w:szCs w:val="24"/>
        </w:rPr>
        <w:t>Határozattal elfogadja a munkaszervezet éves költségvetését, ügyrendj</w:t>
      </w:r>
      <w:r>
        <w:rPr>
          <w:rFonts w:ascii="Arial" w:hAnsi="Arial" w:cs="Arial"/>
          <w:color w:val="000000"/>
          <w:kern w:val="0"/>
          <w:sz w:val="24"/>
          <w:szCs w:val="24"/>
        </w:rPr>
        <w:t>ét, gazdálkodási szabályzatait.</w:t>
      </w:r>
    </w:p>
    <w:p w:rsidR="006A3646" w:rsidRPr="003833B4" w:rsidRDefault="003833B4"/>
    <w:sectPr w:rsidR="006A3646" w:rsidRPr="0038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55B"/>
    <w:multiLevelType w:val="hybridMultilevel"/>
    <w:tmpl w:val="3D207EB4"/>
    <w:lvl w:ilvl="0" w:tplc="4BA8EF2C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229" w:hanging="360"/>
      </w:pPr>
    </w:lvl>
    <w:lvl w:ilvl="2" w:tplc="040E001B">
      <w:start w:val="1"/>
      <w:numFmt w:val="lowerRoman"/>
      <w:lvlText w:val="%3."/>
      <w:lvlJc w:val="right"/>
      <w:pPr>
        <w:ind w:left="949" w:hanging="180"/>
      </w:pPr>
    </w:lvl>
    <w:lvl w:ilvl="3" w:tplc="040E000F">
      <w:start w:val="1"/>
      <w:numFmt w:val="decimal"/>
      <w:lvlText w:val="%4."/>
      <w:lvlJc w:val="left"/>
      <w:pPr>
        <w:ind w:left="1669" w:hanging="360"/>
      </w:pPr>
    </w:lvl>
    <w:lvl w:ilvl="4" w:tplc="040E0019">
      <w:start w:val="1"/>
      <w:numFmt w:val="lowerLetter"/>
      <w:lvlText w:val="%5."/>
      <w:lvlJc w:val="left"/>
      <w:pPr>
        <w:ind w:left="2389" w:hanging="360"/>
      </w:pPr>
    </w:lvl>
    <w:lvl w:ilvl="5" w:tplc="040E001B">
      <w:start w:val="1"/>
      <w:numFmt w:val="lowerRoman"/>
      <w:lvlText w:val="%6."/>
      <w:lvlJc w:val="right"/>
      <w:pPr>
        <w:ind w:left="3109" w:hanging="180"/>
      </w:pPr>
    </w:lvl>
    <w:lvl w:ilvl="6" w:tplc="040E000F">
      <w:start w:val="1"/>
      <w:numFmt w:val="decimal"/>
      <w:lvlText w:val="%7."/>
      <w:lvlJc w:val="left"/>
      <w:pPr>
        <w:ind w:left="3829" w:hanging="360"/>
      </w:pPr>
    </w:lvl>
    <w:lvl w:ilvl="7" w:tplc="040E0019">
      <w:start w:val="1"/>
      <w:numFmt w:val="lowerLetter"/>
      <w:lvlText w:val="%8."/>
      <w:lvlJc w:val="left"/>
      <w:pPr>
        <w:ind w:left="4549" w:hanging="360"/>
      </w:pPr>
    </w:lvl>
    <w:lvl w:ilvl="8" w:tplc="040E001B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15914A4"/>
    <w:multiLevelType w:val="multilevel"/>
    <w:tmpl w:val="4088045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0D6423F"/>
    <w:multiLevelType w:val="hybridMultilevel"/>
    <w:tmpl w:val="253E09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0859"/>
    <w:multiLevelType w:val="hybridMultilevel"/>
    <w:tmpl w:val="34BA1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0B"/>
    <w:rsid w:val="000873AF"/>
    <w:rsid w:val="00164056"/>
    <w:rsid w:val="0017405F"/>
    <w:rsid w:val="0024607C"/>
    <w:rsid w:val="00297101"/>
    <w:rsid w:val="002D4FEC"/>
    <w:rsid w:val="00312B72"/>
    <w:rsid w:val="003833B4"/>
    <w:rsid w:val="003C2132"/>
    <w:rsid w:val="003E5795"/>
    <w:rsid w:val="00455BE1"/>
    <w:rsid w:val="00520B4F"/>
    <w:rsid w:val="0054637D"/>
    <w:rsid w:val="006F0DBC"/>
    <w:rsid w:val="007808A1"/>
    <w:rsid w:val="007D381F"/>
    <w:rsid w:val="007D439F"/>
    <w:rsid w:val="007D70A6"/>
    <w:rsid w:val="008D3230"/>
    <w:rsid w:val="009C006C"/>
    <w:rsid w:val="00A437B7"/>
    <w:rsid w:val="00A95117"/>
    <w:rsid w:val="00AF25D0"/>
    <w:rsid w:val="00B313B4"/>
    <w:rsid w:val="00B55C3A"/>
    <w:rsid w:val="00C704D0"/>
    <w:rsid w:val="00C8540B"/>
    <w:rsid w:val="00C9058A"/>
    <w:rsid w:val="00D17469"/>
    <w:rsid w:val="00D57A33"/>
    <w:rsid w:val="00E0704A"/>
    <w:rsid w:val="00E27C55"/>
    <w:rsid w:val="00E35520"/>
    <w:rsid w:val="00E54042"/>
    <w:rsid w:val="00E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90717-C70D-4B74-9D3F-0AE24D8F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540B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Czövek Erika</dc:creator>
  <cp:keywords/>
  <dc:description/>
  <cp:lastModifiedBy>Tóthné Czövek Erika</cp:lastModifiedBy>
  <cp:revision>2</cp:revision>
  <dcterms:created xsi:type="dcterms:W3CDTF">2020-09-30T11:44:00Z</dcterms:created>
  <dcterms:modified xsi:type="dcterms:W3CDTF">2020-09-30T11:44:00Z</dcterms:modified>
</cp:coreProperties>
</file>