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C19" w:rsidRDefault="00EB78ED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Indokolás</w:t>
      </w:r>
    </w:p>
    <w:p w:rsidR="00234C19" w:rsidRDefault="00EB78ED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 települési támogatásról szóló önkormányzati rendelet megalkotásához</w:t>
      </w:r>
    </w:p>
    <w:p w:rsidR="00234C19" w:rsidRDefault="00234C1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234C19" w:rsidRDefault="00234C1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234C19" w:rsidRDefault="00EB78ED">
      <w:pPr>
        <w:pStyle w:val="Textbody"/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jogalkotásról szóló 2010. évi CXXX. törvény vonatkozó rendelkezése alapján a jogszabály tervezetéhez a jogszabály előkészítője indokolást csatol.</w:t>
      </w:r>
    </w:p>
    <w:p w:rsidR="00234C19" w:rsidRDefault="00234C1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jelenleg hatályos települési támogatásról szóló rendelet elfogadása óta bekövetkezett számos rendeletmódos</w:t>
      </w:r>
      <w:r>
        <w:rPr>
          <w:rFonts w:ascii="Times New Roman" w:hAnsi="Times New Roman"/>
          <w:szCs w:val="24"/>
        </w:rPr>
        <w:t>ítást követően a jogszabályi háttér és gyakorlati alkalmazhatóság felülvizsgálatra került, melynek eredményeként több, kisebb-nagyobb módosítást vált szükségessé. Ennek eszközölése érdekében célszerű a jelenleg hatályos települési támogatásról szóló rendel</w:t>
      </w:r>
      <w:r>
        <w:rPr>
          <w:rFonts w:ascii="Times New Roman" w:hAnsi="Times New Roman"/>
          <w:szCs w:val="24"/>
        </w:rPr>
        <w:t>et hatályon kívül helyezése és egy úgy rendelet megalkotása ebben a témában.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Magyarország Alaptörvényének 32. cikk (2) bekezdése értelmében a feladatkörében eljárva a helyi önkormányzat törvény által nem szabályozott helyi társadalmi viszonyok rendezésére</w:t>
      </w:r>
      <w:r>
        <w:rPr>
          <w:rFonts w:ascii="Times New Roman" w:hAnsi="Times New Roman"/>
          <w:szCs w:val="24"/>
        </w:rPr>
        <w:t>, illetve törvényben kapott felhatalmazás alapján önkormányzati rendeletet alkot.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Magyarország helyi önkormányzatairól szóló 2011. évi CLXXXIX. törvény 13. § (1) bekezdés 8a. pontja szerint a helyi közügyek, valamint a helyben biztosítható közfeladatok kö</w:t>
      </w:r>
      <w:r>
        <w:rPr>
          <w:rFonts w:ascii="Times New Roman" w:hAnsi="Times New Roman"/>
          <w:szCs w:val="24"/>
        </w:rPr>
        <w:t>rében ellátandó helyi önkormányzati feladat különösen a szociális szolgáltatások és ellátások, amelyek keretében települési támogatás állapítható meg.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szociális igazgatásról és szociális ellátásokról szóló 1993. évi III. törvény 132. § (4) bekezdés g) p</w:t>
      </w:r>
      <w:r>
        <w:rPr>
          <w:rFonts w:ascii="Times New Roman" w:hAnsi="Times New Roman"/>
          <w:szCs w:val="24"/>
        </w:rPr>
        <w:t xml:space="preserve">ontja alapján a helyi önkormányzat felhatalmazást kap, hogy rendeletben szabályozza a települési támogatás keretében nyújtott ellátások jogosultsági feltételeit, valamint az ellátások megállapításának, kifizetésének, folyósításának, valamint felhasználása </w:t>
      </w:r>
      <w:r>
        <w:rPr>
          <w:rFonts w:ascii="Times New Roman" w:hAnsi="Times New Roman"/>
          <w:szCs w:val="24"/>
        </w:rPr>
        <w:t>ellenőrzésének szabályait.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települési támogatásról szóló rendelet-tervezet az általános rendelkezések fejezetben rögzíti a rendelet célját, valamint hatályát és ezen felül az értelmező rendelkezés egyfajta támpontként felsorolja a támogatási formáknál s</w:t>
      </w:r>
      <w:r>
        <w:rPr>
          <w:rFonts w:ascii="Times New Roman" w:hAnsi="Times New Roman"/>
          <w:szCs w:val="24"/>
        </w:rPr>
        <w:t xml:space="preserve">zükséges és csatolandó dokumentumokat. 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rendelet-tervezet II. fejezete taxatív felsorolást tartalmaz a szociális rászorultságtól függő települési támogatások formáira vonatkozóan, illetve rögzíti, hogy települési támogatások pénzügyi fedezete és a felha</w:t>
      </w:r>
      <w:r>
        <w:rPr>
          <w:rFonts w:ascii="Times New Roman" w:hAnsi="Times New Roman"/>
          <w:szCs w:val="24"/>
        </w:rPr>
        <w:t>sználható pénzügyi keret az önkormányzat tárgyévi költségvetési előirányzatainak megállapításáról szóló rendeletben kerül meghatározásra.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pénzbeli és természetbeni ellátás formájában nyújtott támogatások körét és részletes szabályait a rendelet-tervezet</w:t>
      </w:r>
      <w:r>
        <w:rPr>
          <w:rFonts w:ascii="Times New Roman" w:hAnsi="Times New Roman"/>
          <w:szCs w:val="24"/>
        </w:rPr>
        <w:t xml:space="preserve"> III. fejezete rögzíti.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rendelet-tervezet IV. fejezete a Helyi Szociálpolitikai Kerekasztal feladatkörét, tagjainak felsorolását, illetve ülésire vonatkozó szabályozást tartalmazza.</w:t>
      </w: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234C19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Jászapáti, 2020. február 6.</w:t>
      </w:r>
    </w:p>
    <w:p w:rsidR="00234C19" w:rsidRDefault="00234C19">
      <w:pPr>
        <w:pStyle w:val="western"/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234C19" w:rsidRDefault="00EB78ED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Farkas Ferenc</w:t>
      </w:r>
    </w:p>
    <w:p w:rsidR="00234C19" w:rsidRDefault="00EB78ED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polgármester</w:t>
      </w:r>
    </w:p>
    <w:p w:rsidR="00234C19" w:rsidRDefault="00234C19">
      <w:pPr>
        <w:jc w:val="both"/>
      </w:pPr>
    </w:p>
    <w:sectPr w:rsidR="00234C19">
      <w:pgSz w:w="11906" w:h="16838"/>
      <w:pgMar w:top="1021" w:right="1021" w:bottom="1021" w:left="1021" w:header="567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78ED" w:rsidRDefault="00EB78ED">
      <w:r>
        <w:separator/>
      </w:r>
    </w:p>
  </w:endnote>
  <w:endnote w:type="continuationSeparator" w:id="0">
    <w:p w:rsidR="00EB78ED" w:rsidRDefault="00EB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3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78ED" w:rsidRDefault="00EB78ED">
      <w:r>
        <w:separator/>
      </w:r>
    </w:p>
  </w:footnote>
  <w:footnote w:type="continuationSeparator" w:id="0">
    <w:p w:rsidR="00EB78ED" w:rsidRDefault="00EB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57066"/>
    <w:multiLevelType w:val="multilevel"/>
    <w:tmpl w:val="8BFE24F2"/>
    <w:lvl w:ilvl="0"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i/>
        <w:sz w:val="24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840816"/>
    <w:multiLevelType w:val="multilevel"/>
    <w:tmpl w:val="B9DA8F1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6538B"/>
    <w:multiLevelType w:val="multilevel"/>
    <w:tmpl w:val="9110C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9"/>
    <w:rsid w:val="00234C19"/>
    <w:rsid w:val="008A0D25"/>
    <w:rsid w:val="00E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A87B7-9912-4D8B-AF92-DE8AABF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40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80536"/>
  </w:style>
  <w:style w:type="character" w:customStyle="1" w:styleId="llbChar">
    <w:name w:val="Élőláb Char"/>
    <w:basedOn w:val="Bekezdsalapbettpusa"/>
    <w:uiPriority w:val="99"/>
    <w:qFormat/>
    <w:rsid w:val="00080536"/>
  </w:style>
  <w:style w:type="character" w:customStyle="1" w:styleId="ListLabel1">
    <w:name w:val="ListLabel 1"/>
    <w:qFormat/>
    <w:rPr>
      <w:rFonts w:ascii="Times New Roman" w:eastAsia="font293" w:hAnsi="Times New Roman" w:cs="Times New Roman"/>
      <w:i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Liberation Serif" w:hAnsi="Liberation Serif"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80536"/>
    <w:pPr>
      <w:suppressAutoHyphens/>
      <w:spacing w:after="160" w:line="252" w:lineRule="auto"/>
      <w:textAlignment w:val="baseline"/>
    </w:pPr>
    <w:rPr>
      <w:rFonts w:cs="Times New Roman"/>
      <w:kern w:val="2"/>
      <w:sz w:val="24"/>
      <w:lang w:eastAsia="zh-CN"/>
    </w:rPr>
  </w:style>
  <w:style w:type="paragraph" w:styleId="lfej">
    <w:name w:val="header"/>
    <w:basedOn w:val="Norml"/>
    <w:uiPriority w:val="99"/>
    <w:unhideWhenUsed/>
    <w:rsid w:val="00080536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080536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080536"/>
    <w:pPr>
      <w:spacing w:after="140" w:line="288" w:lineRule="auto"/>
    </w:pPr>
  </w:style>
  <w:style w:type="paragraph" w:customStyle="1" w:styleId="western">
    <w:name w:val="western"/>
    <w:basedOn w:val="Standard"/>
    <w:qFormat/>
    <w:rsid w:val="00DD4CB9"/>
    <w:pPr>
      <w:spacing w:before="280" w:after="142" w:line="288" w:lineRule="auto"/>
    </w:pPr>
    <w:rPr>
      <w:rFonts w:eastAsia="Times New Roman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F3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7</cp:revision>
  <cp:lastPrinted>2020-02-06T15:24:00Z</cp:lastPrinted>
  <dcterms:created xsi:type="dcterms:W3CDTF">2020-02-03T07:52:00Z</dcterms:created>
  <dcterms:modified xsi:type="dcterms:W3CDTF">2020-02-14T07:09:00Z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