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F47C" w14:textId="77777777" w:rsidR="00107205" w:rsidRPr="00107205" w:rsidRDefault="00107205" w:rsidP="0010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7205">
        <w:rPr>
          <w:rFonts w:ascii="Times New Roman" w:eastAsia="Times New Roman" w:hAnsi="Times New Roman" w:cs="Times New Roman"/>
          <w:sz w:val="24"/>
          <w:szCs w:val="24"/>
        </w:rPr>
        <w:t>INDOKOLÁS</w:t>
      </w:r>
    </w:p>
    <w:p w14:paraId="2F34F883" w14:textId="77777777" w:rsidR="00107205" w:rsidRPr="00107205" w:rsidRDefault="00107205" w:rsidP="0010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205">
        <w:rPr>
          <w:rFonts w:ascii="Times New Roman" w:eastAsia="Times New Roman" w:hAnsi="Times New Roman" w:cs="Times New Roman"/>
          <w:sz w:val="24"/>
          <w:szCs w:val="24"/>
        </w:rPr>
        <w:t xml:space="preserve"> Az államháztartásról szóló 2011. évi CXCV. törvény alapján a helyi önkormányzat a költségvetését rendeletben állapítja meg. A költségvetés megalkotásának kötelezettsége nem csak az államháztartási törvényben, hanem az Alaptörvényben és a Magyarország helyi önkormányzatairól szóló törvényben is szabályozott. A költségvetés megalkotásának kötelezettsége tehát magasabb szintű jogszabályi rendelkezésekben szabályozott; továbbá a gazdálkodás rendszerét, a tervezett bevételeket, a teljesíthető kiadások mértékét határozza meg, így a tárgyévi gazdálkodás alapja. </w:t>
      </w:r>
    </w:p>
    <w:p w14:paraId="1E2E8DA9" w14:textId="77777777" w:rsidR="00107205" w:rsidRPr="00107205" w:rsidRDefault="00107205" w:rsidP="00107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megalkotásakor figyelembevételre kerül</w:t>
      </w:r>
    </w:p>
    <w:p w14:paraId="7AFD5E96" w14:textId="77777777" w:rsidR="00107205" w:rsidRPr="00107205" w:rsidRDefault="00107205" w:rsidP="001072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államháztartásról szóló 2011. évi CXCV. törvény </w:t>
      </w:r>
    </w:p>
    <w:p w14:paraId="6522AAA8" w14:textId="77777777" w:rsidR="00107205" w:rsidRPr="00107205" w:rsidRDefault="00107205" w:rsidP="001072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államháztartásról szóló törvény végrehajtásáról szóló 368/2011.(XII.31.) Korm. rendelet (továbbiakban: </w:t>
      </w:r>
      <w:proofErr w:type="spellStart"/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Ávr</w:t>
      </w:r>
      <w:proofErr w:type="spellEnd"/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.),</w:t>
      </w:r>
    </w:p>
    <w:p w14:paraId="7DF9ED22" w14:textId="77777777" w:rsidR="00107205" w:rsidRPr="00107205" w:rsidRDefault="00107205" w:rsidP="001072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Magyarország gazdasági stabilitásáról szóló 2011. évi CXCIV. törvény (továbbiakban: Stabilitási tv.),</w:t>
      </w:r>
    </w:p>
    <w:p w14:paraId="780B2616" w14:textId="77777777" w:rsidR="00107205" w:rsidRPr="00107205" w:rsidRDefault="00107205" w:rsidP="001072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Magyarország helyi önkormányzatairól szóló 2011. évi CLXXXIX. törvény (továbbiakban: </w:t>
      </w:r>
      <w:proofErr w:type="spellStart"/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Mötv</w:t>
      </w:r>
      <w:proofErr w:type="spellEnd"/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.),</w:t>
      </w:r>
    </w:p>
    <w:p w14:paraId="5EC11A31" w14:textId="77777777" w:rsidR="00107205" w:rsidRPr="00107205" w:rsidRDefault="00107205" w:rsidP="001072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jogszabályszerkesztésről szóló 61/2009. (XII.14.) IRM rendelet,</w:t>
      </w:r>
    </w:p>
    <w:p w14:paraId="3116C1E9" w14:textId="77777777" w:rsidR="00107205" w:rsidRPr="00107205" w:rsidRDefault="00107205" w:rsidP="001072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jogalkotásról szóló 2010. évi CXXX. törvény (továbbiakban: </w:t>
      </w:r>
      <w:proofErr w:type="spellStart"/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Jat</w:t>
      </w:r>
      <w:proofErr w:type="spellEnd"/>
      <w:r w:rsidRPr="001072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</w:t>
      </w:r>
    </w:p>
    <w:p w14:paraId="5119E800" w14:textId="77777777" w:rsidR="00107205" w:rsidRPr="00107205" w:rsidRDefault="00107205" w:rsidP="0010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63877" w14:textId="77777777" w:rsidR="00107205" w:rsidRPr="00107205" w:rsidRDefault="00107205" w:rsidP="0010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205">
        <w:rPr>
          <w:rFonts w:ascii="Times New Roman" w:eastAsia="Times New Roman" w:hAnsi="Times New Roman" w:cs="Times New Roman"/>
          <w:sz w:val="24"/>
          <w:szCs w:val="24"/>
        </w:rPr>
        <w:t>A rendelet főbb részei:</w:t>
      </w:r>
    </w:p>
    <w:p w14:paraId="40111FB9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1. § a rendelet hatályát, </w:t>
      </w:r>
    </w:p>
    <w:p w14:paraId="6BFAC4A9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a 2. § a költségvetés főösszegét és a kiemelt előirányzatokat, valamint a mellékletek felsorolását határozza meg,</w:t>
      </w:r>
    </w:p>
    <w:p w14:paraId="0E577A0A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az 5. § tartalmazza a végrehajtással kapcsolatos szabályokat,</w:t>
      </w:r>
    </w:p>
    <w:p w14:paraId="4CF181D0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a 6-8.§ az egyéb, a költségvetési rendeletben meghatározandó szabályokat tartalmazza,</w:t>
      </w:r>
    </w:p>
    <w:p w14:paraId="680DDA88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hatálybalépést a 9. § határozza meg. </w:t>
      </w:r>
    </w:p>
    <w:p w14:paraId="768588AB" w14:textId="77777777" w:rsidR="00107205" w:rsidRPr="00107205" w:rsidRDefault="00107205" w:rsidP="0010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205">
        <w:rPr>
          <w:rFonts w:ascii="Times New Roman" w:eastAsia="Times New Roman" w:hAnsi="Times New Roman" w:cs="Times New Roman"/>
          <w:sz w:val="24"/>
          <w:szCs w:val="24"/>
        </w:rPr>
        <w:t>A tervezet mellékletei az alábbiak szerint épülnek fel:</w:t>
      </w:r>
    </w:p>
    <w:p w14:paraId="7BD8EC39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megállapított bevételi és kiadási főösszeg megoszlását az 1-2- 3. melléklet;</w:t>
      </w:r>
    </w:p>
    <w:p w14:paraId="4BEB3A52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önkormányzatot megillető állami támogatások összegeit a 4. melléklet,</w:t>
      </w:r>
    </w:p>
    <w:p w14:paraId="1A29401F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adók és egyéb közhatalmi bevételek alakulását az 5. melléklet,</w:t>
      </w:r>
    </w:p>
    <w:p w14:paraId="3B8DA10E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támogatások, kölcsönök bevételeit a 6. melléklet,</w:t>
      </w:r>
    </w:p>
    <w:p w14:paraId="43686DFA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lakosság részére szociális, rászorultsági jellegű ellátások alakulását a 7. melléklet,</w:t>
      </w:r>
    </w:p>
    <w:p w14:paraId="184FEC22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beruházások, felújítások bemutatását a 8. melléklet,</w:t>
      </w:r>
    </w:p>
    <w:p w14:paraId="4D22A5CC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támogatások, kölcsönök nyújtását a 9. melléklet,</w:t>
      </w:r>
    </w:p>
    <w:p w14:paraId="453F6DF5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tartalékok alakulását a 10. melléklet,</w:t>
      </w:r>
    </w:p>
    <w:p w14:paraId="2D6A2A98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irányítószervi támogatásokat a 11. melléklet,</w:t>
      </w:r>
    </w:p>
    <w:p w14:paraId="5CF0D3D9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európai uniós forrásból finanszírozott projektek kiadásait és bevételeit a 13. melléklet, </w:t>
      </w:r>
    </w:p>
    <w:p w14:paraId="1DFC0260" w14:textId="77777777" w:rsidR="00107205" w:rsidRPr="00107205" w:rsidRDefault="00107205" w:rsidP="001072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205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foglalkoztatottak létszámát a 13. melléklet tartalmazza.</w:t>
      </w:r>
    </w:p>
    <w:p w14:paraId="67F3EED8" w14:textId="77777777" w:rsidR="00107205" w:rsidRPr="00107205" w:rsidRDefault="00107205" w:rsidP="0010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EC9BC" w14:textId="77777777" w:rsidR="00107205" w:rsidRPr="00107205" w:rsidRDefault="00107205" w:rsidP="00107205">
      <w:pPr>
        <w:spacing w:after="0" w:line="240" w:lineRule="auto"/>
        <w:ind w:left="426" w:right="-284" w:hanging="426"/>
        <w:jc w:val="both"/>
        <w:rPr>
          <w:rFonts w:ascii="Bookman Old Style" w:eastAsia="Times New Roman" w:hAnsi="Bookman Old Style" w:cs="Arial"/>
          <w:szCs w:val="24"/>
        </w:rPr>
      </w:pPr>
    </w:p>
    <w:p w14:paraId="03413D6D" w14:textId="77777777" w:rsidR="003907F7" w:rsidRDefault="003907F7">
      <w:bookmarkStart w:id="0" w:name="_GoBack"/>
      <w:bookmarkEnd w:id="0"/>
    </w:p>
    <w:sectPr w:rsidR="003907F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DEF09" w14:textId="77777777" w:rsidR="00181FFF" w:rsidRDefault="0010720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09381FE3" w14:textId="77777777" w:rsidR="00181FFF" w:rsidRDefault="00107205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C5C1B"/>
    <w:multiLevelType w:val="hybridMultilevel"/>
    <w:tmpl w:val="C0A62396"/>
    <w:lvl w:ilvl="0" w:tplc="2820D24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7E"/>
    <w:rsid w:val="00107205"/>
    <w:rsid w:val="003907F7"/>
    <w:rsid w:val="00D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20F0E-7DBF-4E5A-AF93-52C2F8A2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07205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z w:val="24"/>
      <w:szCs w:val="24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107205"/>
    <w:rPr>
      <w:rFonts w:ascii="Georgia" w:eastAsia="Times New Roman" w:hAnsi="Georgia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2020-02-28T09:03:00Z</dcterms:created>
  <dcterms:modified xsi:type="dcterms:W3CDTF">2020-02-28T09:03:00Z</dcterms:modified>
</cp:coreProperties>
</file>