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  <w:r w:rsidRPr="00D54371">
        <w:rPr>
          <w:bCs/>
          <w:color w:val="000000"/>
          <w:szCs w:val="24"/>
        </w:rPr>
        <w:t>Indokolás</w:t>
      </w: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</w:p>
    <w:p w:rsidR="003E6981" w:rsidRPr="00D54371" w:rsidRDefault="003E6981" w:rsidP="003E6981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371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:rsidR="003E6981" w:rsidRPr="00D54371" w:rsidRDefault="003E6981" w:rsidP="003E6981">
      <w:pPr>
        <w:jc w:val="both"/>
        <w:rPr>
          <w:bCs/>
          <w:color w:val="000000"/>
          <w:szCs w:val="24"/>
        </w:rPr>
      </w:pPr>
      <w:r w:rsidRPr="00D54371">
        <w:rPr>
          <w:szCs w:val="24"/>
        </w:rPr>
        <w:t xml:space="preserve">A Platán soron lévő, egykori ruhagyár területe jelenleg kihasználatlan. A beruházó </w:t>
      </w:r>
      <w:proofErr w:type="spellStart"/>
      <w:r w:rsidRPr="00D54371">
        <w:rPr>
          <w:szCs w:val="24"/>
        </w:rPr>
        <w:t>Aldi</w:t>
      </w:r>
      <w:proofErr w:type="spellEnd"/>
      <w:r w:rsidRPr="00D54371">
        <w:rPr>
          <w:szCs w:val="24"/>
        </w:rPr>
        <w:t xml:space="preserve"> bevásárlóközpont létesítése kapcsán telepítési tanulmánytervet nyújtott be az önkormányzat felé, melyet az elfogadott.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tömbben a 4887/2 hrsz-ú ingatlan az egykori ruhagyár épületeivel és a 4887/3 hrsz-ú, jelenleg beépítetlen ingatlan található. A tömb településközpont vegyes területfelhasználású, melyet a szabályozási terv a Vt-9 jelű településközponti vegyes építési övezetbe sorol. Az övezetben a megengedett legnagyobb beépítettség 40%, a megengedett legkisebb épületmagasság 9,0 </w:t>
      </w:r>
      <w:proofErr w:type="gramStart"/>
      <w:r w:rsidRPr="00D54371">
        <w:rPr>
          <w:szCs w:val="24"/>
        </w:rPr>
        <w:t>méter ,a</w:t>
      </w:r>
      <w:proofErr w:type="gramEnd"/>
      <w:r w:rsidRPr="00D54371">
        <w:rPr>
          <w:szCs w:val="24"/>
        </w:rPr>
        <w:t xml:space="preserve"> legnagyobb épületmagasság 16,0 méter, a kialakítható legkisebb zöldfelület mértéke 30 %.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A szabályozási terv meghatározza a Platán sor felőli előkert mértékét és az övezet területén építési hely került jelölésre, melynek célja, hogy a Platán sor és a Déryné utca közötti átkötés lehetősége megmaradjon.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szabályozási tervben jelöltnek megfelelő nyomvonalon helyezkedik el (a </w:t>
      </w:r>
      <w:proofErr w:type="spellStart"/>
      <w:r w:rsidRPr="00D54371">
        <w:rPr>
          <w:szCs w:val="24"/>
        </w:rPr>
        <w:t>Lidl</w:t>
      </w:r>
      <w:proofErr w:type="spellEnd"/>
      <w:r w:rsidRPr="00D54371">
        <w:rPr>
          <w:szCs w:val="24"/>
        </w:rPr>
        <w:t xml:space="preserve"> 4888/3 hrsz.-ú ingatlanon) a gyalogos és kerékpáros forgalom kiszolgálását biztosító átkötő útkapcsolat.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Az önkormányzat felé benyújtott telepítési tanulmánytervben szerepel, hogy a ruhagyár 4887/2 hrsz.-ú telkén két bontásra kerülő épület, valamint 3 megtartandó épület található.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Hosszú távú céljuk, hogy a területen a kereskedelmi fejlesztések biztosítottak legyenek, mely által a terület megújul az épületállomány és az infrastruktúra tekintetében is. A későbbi fejlesztések megvalósítása érdekében kérik a ZÉSZ módosítását.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A telepítési tanulmányterv tartalmazza az övezetre vonatkozó előírások módosítási javaslatát, mely a minimálisan meghatározásra került épületmagasságra, valamin a kialakítandó legkisebb zöldfelület mértékének csökkentését vonatkozik. A tervezett épület magassága 4,5 méter, mely kevesebb, mint a jelenlegi szabályozásban meghatározott 9 méteres korlát. A kialakítható legkisebb zöldterület vonatkozásában a jelenleg meghatározott 30%-os érték 20%-</w:t>
      </w:r>
      <w:proofErr w:type="spellStart"/>
      <w:r w:rsidRPr="00D54371">
        <w:rPr>
          <w:szCs w:val="24"/>
        </w:rPr>
        <w:t>ra</w:t>
      </w:r>
      <w:proofErr w:type="spellEnd"/>
      <w:r w:rsidRPr="00D54371">
        <w:rPr>
          <w:szCs w:val="24"/>
        </w:rPr>
        <w:t xml:space="preserve"> való csökkentését kérik, mivel az áruházhoz tartozó parkolók kialakítása mellett a zöldfelületi előírás ilyen mértékben nem tartható. </w:t>
      </w:r>
    </w:p>
    <w:p w:rsidR="003E6981" w:rsidRPr="00D54371" w:rsidRDefault="003E6981" w:rsidP="003E6981">
      <w:pPr>
        <w:pStyle w:val="Listaszerbekezds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4371">
        <w:rPr>
          <w:rFonts w:ascii="Times New Roman" w:hAnsi="Times New Roman" w:cs="Times New Roman"/>
          <w:sz w:val="24"/>
          <w:szCs w:val="24"/>
          <w:lang w:eastAsia="hu-HU"/>
        </w:rPr>
        <w:t>Vt-9 jelű településközpont vegyes övezet a városban csak e területen található, ezért a megengedett legkisebb épületmagasság törlése és a kialakítható legkisebb zöldfelület mértékének 20 %-</w:t>
      </w:r>
      <w:proofErr w:type="spellStart"/>
      <w:r w:rsidRPr="00D54371">
        <w:rPr>
          <w:rFonts w:ascii="Times New Roman" w:hAnsi="Times New Roman" w:cs="Times New Roman"/>
          <w:sz w:val="24"/>
          <w:szCs w:val="24"/>
          <w:lang w:eastAsia="hu-HU"/>
        </w:rPr>
        <w:t>ra</w:t>
      </w:r>
      <w:proofErr w:type="spellEnd"/>
      <w:r w:rsidRPr="00D54371">
        <w:rPr>
          <w:rFonts w:ascii="Times New Roman" w:hAnsi="Times New Roman" w:cs="Times New Roman"/>
          <w:sz w:val="24"/>
          <w:szCs w:val="24"/>
          <w:lang w:eastAsia="hu-HU"/>
        </w:rPr>
        <w:t xml:space="preserve"> történő csökkentése a beruházás megvalósíthatósága érdekében támogatható. Az állami főépítész véleménye alapján a Vt-9 jelű övezetre vonatkozó előírások között rögzítésre került, hogy minden 5 gépjárművárakozó hely után 1 magas lombkoronájú fa elhelyezése szükséges.</w:t>
      </w:r>
    </w:p>
    <w:p w:rsidR="003E6981" w:rsidRPr="00D54371" w:rsidRDefault="003E6981" w:rsidP="003E6981">
      <w:pPr>
        <w:rPr>
          <w:bCs/>
          <w:color w:val="000000"/>
          <w:szCs w:val="24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  <w:highlight w:val="yellow"/>
        </w:rPr>
      </w:pPr>
    </w:p>
    <w:p w:rsidR="003E6981" w:rsidRPr="00D54371" w:rsidRDefault="003E6981" w:rsidP="003E6981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371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Modern Városok Program keretében Zalaegerszegen új városi multifunkciós rendezvény- és sportcsarnok megvalósítása tervezett. A projekt magában foglalja az új </w:t>
      </w:r>
      <w:proofErr w:type="gramStart"/>
      <w:r w:rsidRPr="00D54371">
        <w:rPr>
          <w:szCs w:val="24"/>
        </w:rPr>
        <w:t>sport,-</w:t>
      </w:r>
      <w:proofErr w:type="gramEnd"/>
      <w:r w:rsidRPr="00D54371">
        <w:rPr>
          <w:szCs w:val="24"/>
        </w:rPr>
        <w:t xml:space="preserve"> és rendezvénycsarnok elkészülése után a régi csarnok bontását, egységes tér és parkoló kialakítását, további több száz férőhelyes parkoló építését, a környező utak felújítását, valamint a Balatoni és a Stadion utcák kereszteződésében körforgalom építését. A projekt megvalósításához a programterv, valamint a folyamatos egyeztetések alatt álló vázlattervek alapján szükséges a településrendezési tervek módosítása.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szabályozási terv a Pláza áruház telkét Gksz-5 jelű kereskedelmi szolgáltató gazdasági övezetbe, a jégcsarnok 2897/10 hrsz.-ú úszótelkét, az úszótelket magába foglaló 2897/18 hrsz.-ú telket, a jelenlegi sportcsarnok 2897/11 hrsz.-ú telkét és a mögötte lévő 2897/19 hrsz.-ú telket K-sp-1 jelű különleges sport övezetként szabályozza. A tömb közlekedési területein közparkolók </w:t>
      </w:r>
      <w:r w:rsidRPr="00D54371">
        <w:rPr>
          <w:szCs w:val="24"/>
        </w:rPr>
        <w:lastRenderedPageBreak/>
        <w:t xml:space="preserve">elhelyezése jelölt, valamint az Udvardy Ignác tér 2897/15 hrsz.- ú telkének nyugati szélén építési helyet jelöl egy korábban tervezett vendéglátó funkció közlekedési területen történő elhelyezése céljából, melynek megvalósítása időközben meghiúsult.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K-sp-1 jelű övezetének építési módja szabadon álló, a megengedett legnagyobb beépítettség 40%, a megengedett legnagyobb épületmagasság 12,5m, a homlokzatmagasság 15m, a zöldfelület megengedett legkisebb mértéke 40%.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tömb déli oldalán a Balatoni úti felüljáró melletti sávban, a meglévő csarnok mögötti területen kerül elhelyezésre a sport- és rendezvénycsarnok épülete.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Csökken a jelenlegi különleges sport övezet területe, melyhez jelenleg a jégcsarnok és a sportcsarnok, valamint a mögötte elhelyezkedő sportpályák tartoznak.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jelentősen csökkenő beépítésre szánt terület számára a nagyobb beépíthetőségi előírások meghatározása szükséges annak érdekében, hogy a rendezvénytér és a multifunkciós rendezvény és sportcsarnok megvalósulhasson. A területre intézményi övezet meghatározása tervezett.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A jégcsarnok 2897/10 hrsz.-ú telkét a szabályozás módosítását követően a dél-keleti részen szabályozás érinti, míg a keleti részén a telek kiegészítésre kerül. Az övezet területe az így kialakult úszótelek lesz, mely számára új intézményi övezet bevezetése tervezett, melynek a megengedett legnagyobb beépítettség mértéke 100%-ban, a kialakítható legkisebb zöldterület 0%-ban kerül meghatározásra, mely Vi-11 jelű intézményi övezetként kerül jelölésre.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sportcsarnok jelenlegi épülete, mely a későbbiekben elbontásra kerül a szabályozás módosítását követően közlekedési és közmű-elhelyezési területen fog elhelyezkedni. Az új épület elhelyezését ettől keletebbre tervezik. Az épület számára új övezet létrehozása szükséges, mely övezet normatív előírásai a megengedett legnagyobb beépítettség tekintetében 85%, a kialakítható legkisebb zöldfelület mértékére vonatkozóan 8%, mely Vi-12 jelű intézményi övezetként kerül jelölésre. </w:t>
      </w: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>A létesítmény tervezése során hasonló hazai és külföldi létesítményeket megvizsgálva, a vizsgálat eredményeként 100 kerékpártároló elhelyezése elegendő, ezért az OTÉK 7. mellékletében meghatározottakhoz képest a kerékpártárolók számának csökkentése egyedi szabályozás alapján indokolt. A Vi-11 és a Vi-12 jelű építési övezetekben így az OTÉK mellékletében meghatározott mértéknek 30%-ban szükséges biztosítani.</w:t>
      </w:r>
    </w:p>
    <w:p w:rsidR="003E6981" w:rsidRPr="00D54371" w:rsidRDefault="003E6981" w:rsidP="003E6981">
      <w:pPr>
        <w:jc w:val="both"/>
        <w:rPr>
          <w:szCs w:val="24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  <w:highlight w:val="yellow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  <w:r w:rsidRPr="00D54371">
        <w:rPr>
          <w:bCs/>
          <w:color w:val="000000"/>
          <w:szCs w:val="24"/>
        </w:rPr>
        <w:t>3. §-hoz</w:t>
      </w:r>
    </w:p>
    <w:p w:rsidR="003E6981" w:rsidRPr="00D54371" w:rsidRDefault="003E6981" w:rsidP="003E6981">
      <w:pPr>
        <w:jc w:val="both"/>
        <w:rPr>
          <w:szCs w:val="24"/>
        </w:rPr>
      </w:pPr>
    </w:p>
    <w:p w:rsidR="003E6981" w:rsidRPr="00D54371" w:rsidRDefault="003E6981" w:rsidP="003E6981">
      <w:pPr>
        <w:jc w:val="both"/>
        <w:rPr>
          <w:szCs w:val="24"/>
        </w:rPr>
      </w:pPr>
      <w:r w:rsidRPr="00D54371">
        <w:rPr>
          <w:szCs w:val="24"/>
        </w:rPr>
        <w:t xml:space="preserve">A Zalaegerszeg 0828/7 és 0828/8 hrsz-ú ingatlanokra vonatkozó szabályozás az oda tervezett lazac-tenyésztő üzem érdekében korábban már módosításra került, gazdasági terület kijelölése történt a területbiztosítás érdekében. A tervezési folyamat során kiderült, hogy terület vízellátását biztosító fúrt kutakból származó víz előkezeléséhez 720 m2-es előkészítő építmény létesítése szükséges, mely jelentősen megnöveli a telek beépítettségét, így a településrendezési tervek módosítása szükséges a fejlesztés megvalósításához. Az országos településrendezési és építési követelményekről szóló 253/1997. (XII.20.) Korm. rendelet 2. számú melléklete az ipari területfelhasználású terület megengedett legnagyobb beépítettségét 50 %-ban határozza meg. A beruházás megvalósulásához ez a beépíthetőség nem elegendő, ezért a fejlesztési területet Gip-4 jelű ipari gazdasági övezetből általános gazdasági területfelhasználásba soroljuk. A hatályos településrendezési tervekben jelenleg nem szerepel általános gazdasági terület, így annak bevezetése szükséges, </w:t>
      </w:r>
      <w:proofErr w:type="spellStart"/>
      <w:r w:rsidRPr="00D54371">
        <w:rPr>
          <w:szCs w:val="24"/>
        </w:rPr>
        <w:t>Gá</w:t>
      </w:r>
      <w:proofErr w:type="spellEnd"/>
      <w:r w:rsidRPr="00D54371">
        <w:rPr>
          <w:szCs w:val="24"/>
        </w:rPr>
        <w:t xml:space="preserve"> jelöléssel, 60%-os megengedett legnagyobb beépítettséggel, 10,5 méter legnagyobb beépítési magassággal, és 25% kialakítható legkisebb zöldfelületi mértékkel.</w:t>
      </w:r>
    </w:p>
    <w:p w:rsidR="003E6981" w:rsidRPr="00D54371" w:rsidRDefault="003E6981" w:rsidP="003E6981">
      <w:pPr>
        <w:jc w:val="both"/>
        <w:rPr>
          <w:szCs w:val="24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</w:p>
    <w:p w:rsidR="003E6981" w:rsidRPr="00D54371" w:rsidRDefault="003E6981" w:rsidP="003E6981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371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:rsidR="003E6981" w:rsidRPr="00D54371" w:rsidRDefault="003E6981" w:rsidP="003E6981">
      <w:pPr>
        <w:jc w:val="both"/>
        <w:rPr>
          <w:bCs/>
          <w:color w:val="000000"/>
          <w:szCs w:val="24"/>
        </w:rPr>
      </w:pPr>
      <w:r w:rsidRPr="00D54371">
        <w:rPr>
          <w:bCs/>
          <w:color w:val="000000"/>
          <w:szCs w:val="24"/>
        </w:rPr>
        <w:lastRenderedPageBreak/>
        <w:t>A szabályozási terv a beruházások megvalósítása érdekében módosul.</w:t>
      </w: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  <w:r w:rsidRPr="00D54371">
        <w:rPr>
          <w:bCs/>
          <w:color w:val="000000"/>
          <w:szCs w:val="24"/>
        </w:rPr>
        <w:t>5. §-hoz</w:t>
      </w:r>
    </w:p>
    <w:p w:rsidR="003E6981" w:rsidRPr="00D54371" w:rsidRDefault="003E6981" w:rsidP="003E6981">
      <w:pPr>
        <w:jc w:val="center"/>
        <w:rPr>
          <w:bCs/>
          <w:color w:val="000000"/>
          <w:szCs w:val="24"/>
        </w:rPr>
      </w:pPr>
    </w:p>
    <w:p w:rsidR="003E6981" w:rsidRPr="00D54371" w:rsidRDefault="003E6981" w:rsidP="003E6981">
      <w:pPr>
        <w:jc w:val="both"/>
        <w:rPr>
          <w:bCs/>
          <w:color w:val="000000"/>
          <w:szCs w:val="24"/>
        </w:rPr>
      </w:pPr>
      <w:r w:rsidRPr="00D54371">
        <w:rPr>
          <w:bCs/>
          <w:color w:val="000000"/>
          <w:szCs w:val="24"/>
        </w:rPr>
        <w:t>Hatályba léptető, deregulációs rendelkezést és szabályozási átmenetet tartalmaz.</w:t>
      </w:r>
    </w:p>
    <w:p w:rsidR="003E6981" w:rsidRPr="00D54371" w:rsidRDefault="003E6981" w:rsidP="003E6981">
      <w:pPr>
        <w:jc w:val="both"/>
        <w:rPr>
          <w:bCs/>
          <w:color w:val="000000"/>
          <w:szCs w:val="24"/>
        </w:rPr>
      </w:pPr>
    </w:p>
    <w:p w:rsidR="003E6981" w:rsidRPr="00D54371" w:rsidRDefault="003E6981" w:rsidP="003E6981">
      <w:pPr>
        <w:jc w:val="both"/>
        <w:rPr>
          <w:bCs/>
          <w:color w:val="000000"/>
          <w:szCs w:val="24"/>
        </w:rPr>
      </w:pPr>
    </w:p>
    <w:p w:rsidR="003E6981" w:rsidRPr="00D54371" w:rsidRDefault="003E6981" w:rsidP="003E6981">
      <w:pPr>
        <w:jc w:val="both"/>
        <w:rPr>
          <w:b/>
          <w:szCs w:val="24"/>
        </w:rPr>
      </w:pPr>
      <w:r w:rsidRPr="00D54371">
        <w:rPr>
          <w:b/>
          <w:szCs w:val="24"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:rsidR="003E6981" w:rsidRPr="00D54371" w:rsidRDefault="003E6981" w:rsidP="003E6981">
      <w:pPr>
        <w:tabs>
          <w:tab w:val="left" w:pos="360"/>
        </w:tabs>
        <w:rPr>
          <w:szCs w:val="24"/>
        </w:rPr>
      </w:pPr>
    </w:p>
    <w:p w:rsidR="00A27424" w:rsidRDefault="00A27424">
      <w:bookmarkStart w:id="0" w:name="_GoBack"/>
      <w:bookmarkEnd w:id="0"/>
    </w:p>
    <w:sectPr w:rsidR="00A27424" w:rsidSect="000D1A97">
      <w:pgSz w:w="11906" w:h="16838"/>
      <w:pgMar w:top="1418" w:right="1361" w:bottom="1418" w:left="1361" w:header="141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9173E"/>
    <w:multiLevelType w:val="hybridMultilevel"/>
    <w:tmpl w:val="31DE5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94561"/>
    <w:multiLevelType w:val="hybridMultilevel"/>
    <w:tmpl w:val="EAE018F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81"/>
    <w:rsid w:val="003E6981"/>
    <w:rsid w:val="00A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35F6B-88D0-43F1-A7CD-7C3527A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E69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istaszerbekezds1">
    <w:name w:val="Listaszerű bekezdés1"/>
    <w:basedOn w:val="Norml"/>
    <w:uiPriority w:val="99"/>
    <w:rsid w:val="003E6981"/>
    <w:pPr>
      <w:suppressAutoHyphens w:val="0"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3E6981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2020-12-18T10:27:00Z</dcterms:created>
  <dcterms:modified xsi:type="dcterms:W3CDTF">2020-12-18T10:27:00Z</dcterms:modified>
</cp:coreProperties>
</file>