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5C" w:rsidRPr="00777A99" w:rsidRDefault="005D0E5C" w:rsidP="005D0E5C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2</w:t>
      </w:r>
      <w:r w:rsidRPr="00777A99">
        <w:rPr>
          <w:rFonts w:cstheme="minorHAnsi"/>
        </w:rPr>
        <w:tab/>
        <w:t xml:space="preserve">Függelék </w:t>
      </w:r>
      <w:r>
        <w:rPr>
          <w:rFonts w:cstheme="minorHAnsi"/>
        </w:rPr>
        <w:t>2</w:t>
      </w:r>
      <w:r w:rsidRPr="00777A99">
        <w:rPr>
          <w:rFonts w:cstheme="minorHAnsi"/>
        </w:rPr>
        <w:t xml:space="preserve">. ábra: </w:t>
      </w:r>
      <w:r w:rsidRPr="00777A99">
        <w:rPr>
          <w:rFonts w:cstheme="minorHAnsi"/>
          <w:i/>
        </w:rPr>
        <w:t>Országos jelentőségű természeti emlékek, források</w:t>
      </w:r>
    </w:p>
    <w:p w:rsidR="005D0E5C" w:rsidRDefault="005D0E5C" w:rsidP="005D0E5C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:rsidR="005D0E5C" w:rsidRPr="00D054DD" w:rsidRDefault="005D0E5C" w:rsidP="005D0E5C">
      <w:pPr>
        <w:spacing w:after="0" w:line="240" w:lineRule="auto"/>
        <w:jc w:val="center"/>
        <w:rPr>
          <w:rFonts w:cstheme="minorHAnsi"/>
          <w:color w:val="C00000"/>
          <w:sz w:val="8"/>
          <w:szCs w:val="8"/>
        </w:rPr>
      </w:pPr>
    </w:p>
    <w:p w:rsidR="005D0E5C" w:rsidRPr="001C098D" w:rsidRDefault="005D0E5C" w:rsidP="005D0E5C">
      <w:pPr>
        <w:pStyle w:val="Listaszerbekezds"/>
        <w:spacing w:after="0" w:line="240" w:lineRule="auto"/>
        <w:ind w:left="284" w:hanging="568"/>
        <w:rPr>
          <w:b/>
        </w:rPr>
      </w:pPr>
      <w:r>
        <w:rPr>
          <w:b/>
        </w:rPr>
        <w:t>2</w:t>
      </w:r>
      <w:r w:rsidRPr="001C098D">
        <w:rPr>
          <w:b/>
        </w:rPr>
        <w:t>.</w:t>
      </w:r>
      <w:r>
        <w:rPr>
          <w:b/>
        </w:rPr>
        <w:t>2</w:t>
      </w:r>
      <w:r w:rsidRPr="001C098D">
        <w:rPr>
          <w:b/>
        </w:rPr>
        <w:tab/>
        <w:t>Országos ökológiai hálózatra és annak a magterület, az ökológiai folyosó és a pufferterület övezet:</w:t>
      </w:r>
    </w:p>
    <w:p w:rsidR="005D0E5C" w:rsidRPr="001C098D" w:rsidRDefault="005D0E5C" w:rsidP="005D0E5C">
      <w:pPr>
        <w:pStyle w:val="western"/>
        <w:spacing w:before="0" w:beforeAutospacing="0" w:after="0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5D0E5C" w:rsidRPr="001C098D" w:rsidRDefault="005D0E5C" w:rsidP="005D0E5C">
      <w:pPr>
        <w:pStyle w:val="western"/>
        <w:spacing w:before="0" w:beforeAutospacing="0" w:after="0"/>
        <w:jc w:val="both"/>
        <w:rPr>
          <w:rFonts w:asciiTheme="minorHAnsi" w:hAnsiTheme="minorHAnsi"/>
          <w:color w:val="auto"/>
          <w:sz w:val="22"/>
          <w:szCs w:val="22"/>
        </w:rPr>
      </w:pPr>
      <w:r w:rsidRPr="001C098D">
        <w:rPr>
          <w:rFonts w:asciiTheme="minorHAnsi" w:hAnsiTheme="minorHAnsi"/>
          <w:color w:val="auto"/>
          <w:sz w:val="22"/>
          <w:szCs w:val="22"/>
        </w:rPr>
        <w:t xml:space="preserve">Az Országos Területrendezési Tervről szóló 2003. évi XXVI. törvény (továbbiakban: </w:t>
      </w:r>
      <w:proofErr w:type="spellStart"/>
      <w:r w:rsidRPr="001C098D">
        <w:rPr>
          <w:rFonts w:asciiTheme="minorHAnsi" w:hAnsiTheme="minorHAnsi"/>
          <w:bCs/>
          <w:color w:val="auto"/>
          <w:sz w:val="22"/>
          <w:szCs w:val="22"/>
        </w:rPr>
        <w:t>OTrT</w:t>
      </w:r>
      <w:proofErr w:type="spellEnd"/>
      <w:r w:rsidRPr="001C098D">
        <w:rPr>
          <w:rFonts w:asciiTheme="minorHAnsi" w:hAnsiTheme="minorHAnsi"/>
          <w:color w:val="auto"/>
          <w:sz w:val="22"/>
          <w:szCs w:val="22"/>
        </w:rPr>
        <w:t>) 13., 17-19. §-</w:t>
      </w:r>
      <w:proofErr w:type="spellStart"/>
      <w:r w:rsidRPr="001C098D">
        <w:rPr>
          <w:rFonts w:asciiTheme="minorHAnsi" w:hAnsiTheme="minorHAnsi"/>
          <w:color w:val="auto"/>
          <w:sz w:val="22"/>
          <w:szCs w:val="22"/>
        </w:rPr>
        <w:t>ai</w:t>
      </w:r>
      <w:proofErr w:type="spellEnd"/>
      <w:r w:rsidRPr="001C098D">
        <w:rPr>
          <w:rFonts w:asciiTheme="minorHAnsi" w:hAnsiTheme="minorHAnsi"/>
          <w:color w:val="auto"/>
          <w:sz w:val="22"/>
          <w:szCs w:val="22"/>
        </w:rPr>
        <w:t xml:space="preserve"> szabályozzák az országos ökológiai hálózatra és annak a magterület, az ökológiai folyosó és a pufferterület övezetekre vonatkozó előírásokat. </w:t>
      </w:r>
    </w:p>
    <w:p w:rsidR="005D0E5C" w:rsidRPr="001C098D" w:rsidRDefault="005D0E5C" w:rsidP="005D0E5C">
      <w:pPr>
        <w:spacing w:after="0" w:line="240" w:lineRule="auto"/>
        <w:jc w:val="both"/>
      </w:pPr>
      <w:r>
        <w:t>Királd</w:t>
      </w:r>
      <w:r w:rsidRPr="001C098D">
        <w:t xml:space="preserve"> közigazgatási területén az országos ökológiai hálózat övezetei közül a</w:t>
      </w:r>
      <w:r>
        <w:t>z</w:t>
      </w:r>
      <w:r w:rsidRPr="001C098D">
        <w:t xml:space="preserve"> ökológiai folyosó övezete</w:t>
      </w:r>
      <w:r>
        <w:t xml:space="preserve"> található meg</w:t>
      </w:r>
      <w:r w:rsidRPr="001C098D">
        <w:t>.</w:t>
      </w:r>
    </w:p>
    <w:p w:rsidR="005D0E5C" w:rsidRPr="001C098D" w:rsidRDefault="005D0E5C" w:rsidP="005D0E5C">
      <w:pPr>
        <w:spacing w:after="0" w:line="240" w:lineRule="auto"/>
        <w:ind w:left="180" w:hanging="284"/>
        <w:jc w:val="center"/>
        <w:rPr>
          <w:rFonts w:cstheme="minorHAnsi"/>
          <w:sz w:val="8"/>
          <w:szCs w:val="8"/>
        </w:rPr>
      </w:pPr>
      <w:r>
        <w:rPr>
          <w:rFonts w:cstheme="minorHAnsi"/>
          <w:noProof/>
          <w:sz w:val="8"/>
          <w:szCs w:val="8"/>
          <w:lang w:eastAsia="hu-HU"/>
        </w:rPr>
        <w:drawing>
          <wp:inline distT="0" distB="0" distL="0" distR="0" wp14:anchorId="59A7F7DF" wp14:editId="1BDD00C1">
            <wp:extent cx="5540400" cy="5743235"/>
            <wp:effectExtent l="171450" t="133350" r="365100" b="295615"/>
            <wp:docPr id="3" name="Kép 3" descr="G:\LA-URBE\KIRÁLD TAK\Zsolti térképek\_JPG\NP\Királd_TAK-ok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A-URBE\KIRÁLD TAK\Zsolti térképek\_JPG\NP\Királd_TAK-oko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5743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0E5C" w:rsidRDefault="005D0E5C" w:rsidP="005D0E5C">
      <w:pPr>
        <w:tabs>
          <w:tab w:val="left" w:pos="284"/>
        </w:tabs>
        <w:spacing w:after="0" w:line="240" w:lineRule="auto"/>
        <w:ind w:left="1843" w:hanging="1843"/>
        <w:rPr>
          <w:rFonts w:cstheme="minorHAnsi"/>
          <w:i/>
        </w:rPr>
      </w:pPr>
      <w:r>
        <w:rPr>
          <w:rFonts w:cstheme="minorHAnsi"/>
        </w:rPr>
        <w:t>2</w:t>
      </w:r>
      <w:r w:rsidRPr="001C098D">
        <w:rPr>
          <w:rFonts w:cstheme="minorHAnsi"/>
        </w:rPr>
        <w:tab/>
        <w:t xml:space="preserve">Függelék </w:t>
      </w:r>
      <w:r>
        <w:rPr>
          <w:rFonts w:cstheme="minorHAnsi"/>
        </w:rPr>
        <w:t>3</w:t>
      </w:r>
      <w:r w:rsidRPr="001C098D">
        <w:rPr>
          <w:rFonts w:cstheme="minorHAnsi"/>
        </w:rPr>
        <w:t xml:space="preserve">. ábra: </w:t>
      </w:r>
      <w:r w:rsidRPr="001C098D">
        <w:rPr>
          <w:rFonts w:cstheme="minorHAnsi"/>
          <w:i/>
        </w:rPr>
        <w:t>Országos ökológiai hálózatra és annak a magterület, az ökológiai folyosó és a pufferterület övezet</w:t>
      </w:r>
    </w:p>
    <w:p w:rsidR="005D0E5C" w:rsidRPr="001C098D" w:rsidRDefault="005D0E5C" w:rsidP="005D0E5C">
      <w:pPr>
        <w:tabs>
          <w:tab w:val="left" w:pos="284"/>
        </w:tabs>
        <w:spacing w:after="0" w:line="240" w:lineRule="auto"/>
        <w:ind w:left="1843" w:hanging="1843"/>
        <w:rPr>
          <w:sz w:val="16"/>
          <w:szCs w:val="16"/>
        </w:rPr>
      </w:pPr>
    </w:p>
    <w:p w:rsidR="005D0E5C" w:rsidRPr="001C098D" w:rsidRDefault="005D0E5C" w:rsidP="005D0E5C">
      <w:pPr>
        <w:spacing w:after="0" w:line="240" w:lineRule="auto"/>
        <w:jc w:val="center"/>
        <w:rPr>
          <w:b/>
          <w:sz w:val="16"/>
          <w:szCs w:val="16"/>
        </w:rPr>
      </w:pPr>
    </w:p>
    <w:p w:rsidR="005D0E5C" w:rsidRDefault="005D0E5C" w:rsidP="005D0E5C">
      <w:pPr>
        <w:tabs>
          <w:tab w:val="left" w:pos="284"/>
        </w:tabs>
        <w:spacing w:after="0" w:line="240" w:lineRule="auto"/>
        <w:ind w:left="1843" w:hanging="1843"/>
        <w:rPr>
          <w:b/>
          <w:color w:val="C00000"/>
        </w:rPr>
      </w:pPr>
      <w:r>
        <w:rPr>
          <w:b/>
          <w:color w:val="C00000"/>
        </w:rPr>
        <w:br w:type="page"/>
      </w:r>
    </w:p>
    <w:p w:rsidR="005D0E5C" w:rsidRPr="00777A99" w:rsidRDefault="005D0E5C" w:rsidP="005D0E5C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2</w:t>
      </w:r>
      <w:r w:rsidRPr="00777A99">
        <w:rPr>
          <w:b/>
        </w:rPr>
        <w:t>.</w:t>
      </w:r>
      <w:r>
        <w:rPr>
          <w:b/>
        </w:rPr>
        <w:t>3</w:t>
      </w:r>
      <w:r w:rsidRPr="00777A99">
        <w:rPr>
          <w:b/>
        </w:rPr>
        <w:tab/>
        <w:t>Természeti Területek:</w:t>
      </w:r>
    </w:p>
    <w:p w:rsidR="005D0E5C" w:rsidRPr="00777A99" w:rsidRDefault="005D0E5C" w:rsidP="005D0E5C">
      <w:pPr>
        <w:spacing w:after="0" w:line="240" w:lineRule="auto"/>
        <w:jc w:val="both"/>
      </w:pPr>
      <w:r w:rsidRPr="00777A99">
        <w:t xml:space="preserve">A természet védelméről szóló 1996. évi LIII. törvény (továbbiakban: </w:t>
      </w:r>
      <w:proofErr w:type="spellStart"/>
      <w:r w:rsidRPr="00777A99">
        <w:t>Ttv</w:t>
      </w:r>
      <w:proofErr w:type="spellEnd"/>
      <w:r w:rsidRPr="00777A99">
        <w:t>) 15.§ és 4.§ d) alapján természeti területnek minősül minden</w:t>
      </w:r>
    </w:p>
    <w:p w:rsidR="005D0E5C" w:rsidRPr="00777A99" w:rsidRDefault="005D0E5C" w:rsidP="005D0E5C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gramStart"/>
      <w:r w:rsidRPr="00777A99">
        <w:t>erdő ,</w:t>
      </w:r>
      <w:proofErr w:type="gramEnd"/>
      <w:r w:rsidRPr="00777A99">
        <w:t xml:space="preserve"> gyep, nádas, művelési ágú termőföld</w:t>
      </w:r>
    </w:p>
    <w:p w:rsidR="005D0E5C" w:rsidRPr="00777A99" w:rsidRDefault="005D0E5C" w:rsidP="005D0E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777A99">
        <w:t xml:space="preserve">művelés alól </w:t>
      </w:r>
      <w:proofErr w:type="spellStart"/>
      <w:r w:rsidRPr="00777A99">
        <w:t>kivettként</w:t>
      </w:r>
      <w:proofErr w:type="spellEnd"/>
      <w:r w:rsidRPr="00777A99">
        <w:t xml:space="preserve"> nyilvántartott földterület, ha nem építmény elhelyezésére szolgál, vagy ha e törvény hatálybalépésekor, jogerősen jóváhagyott bányászati műszaki üzemi terv alapján nem áll bányaművelés alatt;</w:t>
      </w:r>
    </w:p>
    <w:p w:rsidR="005D0E5C" w:rsidRPr="00777A99" w:rsidRDefault="005D0E5C" w:rsidP="005D0E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777A99">
        <w:t>mező-és erdő gazdasági hasznosításra alkalmatlan földterület,</w:t>
      </w:r>
    </w:p>
    <w:p w:rsidR="005D0E5C" w:rsidRPr="00777A99" w:rsidRDefault="005D0E5C" w:rsidP="005D0E5C">
      <w:pPr>
        <w:spacing w:after="0" w:line="240" w:lineRule="auto"/>
        <w:ind w:left="360"/>
        <w:jc w:val="both"/>
      </w:pPr>
      <w:r w:rsidRPr="00777A99">
        <w:t xml:space="preserve">mely elsősorban a </w:t>
      </w:r>
      <w:proofErr w:type="spellStart"/>
      <w:r w:rsidRPr="00777A99">
        <w:t>Tvt</w:t>
      </w:r>
      <w:proofErr w:type="spellEnd"/>
      <w:r w:rsidRPr="00777A99">
        <w:t xml:space="preserve">. 4§ </w:t>
      </w:r>
      <w:proofErr w:type="gramStart"/>
      <w:r w:rsidRPr="00777A99">
        <w:t>d)-</w:t>
      </w:r>
      <w:proofErr w:type="gramEnd"/>
      <w:r w:rsidRPr="00777A99">
        <w:t>ben definiált természetközeli állapotot jellemeznek.</w:t>
      </w:r>
    </w:p>
    <w:p w:rsidR="005D0E5C" w:rsidRPr="00777A99" w:rsidRDefault="005D0E5C" w:rsidP="005D0E5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5D0E5C" w:rsidRPr="00777A99" w:rsidRDefault="005D0E5C" w:rsidP="005D0E5C">
      <w:pPr>
        <w:spacing w:after="0" w:line="240" w:lineRule="auto"/>
        <w:jc w:val="both"/>
      </w:pPr>
      <w:r w:rsidRPr="00777A99">
        <w:t>Ezeken a területeken kiemelt figyelmet kell fordítani a tájékép, a természetes életközösségek (növénytársulások) és élőhelyek megóvására.</w:t>
      </w:r>
    </w:p>
    <w:p w:rsidR="005D0E5C" w:rsidRPr="00777A99" w:rsidRDefault="005D0E5C" w:rsidP="005D0E5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5D0E5C" w:rsidRPr="00777A99" w:rsidRDefault="005D0E5C" w:rsidP="005D0E5C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777A99">
        <w:rPr>
          <w:b/>
        </w:rPr>
        <w:t>.</w:t>
      </w:r>
      <w:r>
        <w:rPr>
          <w:b/>
        </w:rPr>
        <w:t>4</w:t>
      </w:r>
      <w:r w:rsidRPr="00777A99">
        <w:rPr>
          <w:b/>
        </w:rPr>
        <w:tab/>
        <w:t>Természetközeli területek:</w:t>
      </w:r>
    </w:p>
    <w:p w:rsidR="005D0E5C" w:rsidRPr="00777A99" w:rsidRDefault="005D0E5C" w:rsidP="005D0E5C">
      <w:pPr>
        <w:spacing w:after="0" w:line="240" w:lineRule="auto"/>
        <w:jc w:val="both"/>
        <w:rPr>
          <w:sz w:val="16"/>
          <w:szCs w:val="16"/>
        </w:rPr>
      </w:pPr>
    </w:p>
    <w:p w:rsidR="005D0E5C" w:rsidRPr="00777A99" w:rsidRDefault="005D0E5C" w:rsidP="005D0E5C">
      <w:pPr>
        <w:spacing w:after="0" w:line="240" w:lineRule="auto"/>
        <w:jc w:val="both"/>
      </w:pPr>
      <w:r w:rsidRPr="00777A99">
        <w:t>Az országos településrendezési és építési követelményekről szóló 253/1997. (XII.20.) Korm.rendelet (továbbiakban OTÉK) 30/A. § (1) bekezdése értelmében a mocsár, a nádas és a sziklás területek természetközeli területnek minősülnek. Ugyanezen paragrafus (2) bekezdése értelmében a természetközeli területeken épületet elhelyezni nem lehet.</w:t>
      </w:r>
    </w:p>
    <w:p w:rsidR="00596D58" w:rsidRDefault="00596D58">
      <w:bookmarkStart w:id="0" w:name="_GoBack"/>
      <w:bookmarkEnd w:id="0"/>
    </w:p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13D8"/>
    <w:multiLevelType w:val="hybridMultilevel"/>
    <w:tmpl w:val="E028DF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5C"/>
    <w:rsid w:val="00596D58"/>
    <w:rsid w:val="005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207DA-B13B-4696-BBCE-6CAFE5CC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0E5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D0E5C"/>
    <w:pPr>
      <w:ind w:left="720"/>
      <w:contextualSpacing/>
    </w:pPr>
  </w:style>
  <w:style w:type="paragraph" w:customStyle="1" w:styleId="western">
    <w:name w:val="western"/>
    <w:basedOn w:val="Norml"/>
    <w:rsid w:val="005D0E5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5D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2017-12-29T07:58:00Z</dcterms:created>
  <dcterms:modified xsi:type="dcterms:W3CDTF">2017-12-29T07:58:00Z</dcterms:modified>
</cp:coreProperties>
</file>