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A0D" w:rsidRPr="00BD1A0D" w:rsidRDefault="00BD1A0D" w:rsidP="00BD1A0D">
      <w:pPr>
        <w:pStyle w:val="Listaszerbekezds"/>
        <w:jc w:val="right"/>
        <w:rPr>
          <w:b/>
          <w:sz w:val="26"/>
        </w:rPr>
      </w:pPr>
      <w:r>
        <w:rPr>
          <w:b/>
          <w:sz w:val="26"/>
          <w:vertAlign w:val="superscript"/>
        </w:rPr>
        <w:t>2</w:t>
      </w:r>
      <w:r>
        <w:rPr>
          <w:b/>
          <w:sz w:val="26"/>
        </w:rPr>
        <w:t>1</w:t>
      </w:r>
      <w:proofErr w:type="gramStart"/>
      <w:r>
        <w:rPr>
          <w:b/>
          <w:sz w:val="26"/>
        </w:rPr>
        <w:t>.számú</w:t>
      </w:r>
      <w:proofErr w:type="gramEnd"/>
      <w:r>
        <w:rPr>
          <w:b/>
          <w:sz w:val="26"/>
        </w:rPr>
        <w:t xml:space="preserve"> melléklet</w:t>
      </w:r>
    </w:p>
    <w:p w:rsidR="00BD1A0D" w:rsidRPr="007832C5" w:rsidRDefault="00BD1A0D" w:rsidP="00BD1A0D">
      <w:pPr>
        <w:jc w:val="center"/>
        <w:rPr>
          <w:b/>
          <w:sz w:val="26"/>
        </w:rPr>
      </w:pPr>
      <w:r w:rsidRPr="007832C5">
        <w:rPr>
          <w:b/>
          <w:sz w:val="26"/>
        </w:rPr>
        <w:t>Az önkormányzat egyesített bevételei és kiadásai, működési és felhalmozási célú bevételi és kiadási előirányzatai</w:t>
      </w:r>
    </w:p>
    <w:p w:rsidR="00BD1A0D" w:rsidRDefault="00BD1A0D" w:rsidP="00BD1A0D">
      <w:pPr>
        <w:jc w:val="center"/>
        <w:rPr>
          <w:b/>
        </w:rPr>
      </w:pPr>
    </w:p>
    <w:p w:rsidR="00BD1A0D" w:rsidRPr="00C234A0" w:rsidRDefault="00BD1A0D" w:rsidP="00BD1A0D">
      <w:pPr>
        <w:rPr>
          <w:b/>
        </w:rPr>
      </w:pPr>
      <w:r>
        <w:rPr>
          <w:b/>
        </w:rPr>
        <w:t xml:space="preserve">                 Vokány Önkormányzat 2018.évi költségvetésének pénzügyi mérlege</w:t>
      </w:r>
    </w:p>
    <w:p w:rsidR="00BD1A0D" w:rsidRDefault="00BD1A0D" w:rsidP="00BD1A0D">
      <w:pPr>
        <w:jc w:val="both"/>
      </w:pPr>
    </w:p>
    <w:p w:rsidR="00BD1A0D" w:rsidRDefault="00BD1A0D" w:rsidP="00BD1A0D">
      <w:pPr>
        <w:jc w:val="both"/>
      </w:pPr>
    </w:p>
    <w:p w:rsidR="00BD1A0D" w:rsidRDefault="00BD1A0D" w:rsidP="00BD1A0D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1680"/>
        <w:gridCol w:w="1611"/>
        <w:gridCol w:w="1749"/>
      </w:tblGrid>
      <w:tr w:rsidR="00BD1A0D" w:rsidRPr="00D17F42" w:rsidTr="00D86E89">
        <w:tc>
          <w:tcPr>
            <w:tcW w:w="4188" w:type="dxa"/>
            <w:shd w:val="clear" w:color="auto" w:fill="auto"/>
          </w:tcPr>
          <w:p w:rsidR="00BD1A0D" w:rsidRPr="00D17F42" w:rsidRDefault="00BD1A0D" w:rsidP="00D86E89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Bevételi jogcímek:</w:t>
            </w:r>
          </w:p>
        </w:tc>
        <w:tc>
          <w:tcPr>
            <w:tcW w:w="1680" w:type="dxa"/>
            <w:shd w:val="clear" w:color="auto" w:fill="auto"/>
          </w:tcPr>
          <w:p w:rsidR="00BD1A0D" w:rsidRPr="00D17F42" w:rsidRDefault="00BD1A0D" w:rsidP="00D86E89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611" w:type="dxa"/>
            <w:shd w:val="clear" w:color="auto" w:fill="auto"/>
          </w:tcPr>
          <w:p w:rsidR="00BD1A0D" w:rsidRPr="00D17F42" w:rsidRDefault="00BD1A0D" w:rsidP="00D86E89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749" w:type="dxa"/>
            <w:shd w:val="clear" w:color="auto" w:fill="auto"/>
          </w:tcPr>
          <w:p w:rsidR="00BD1A0D" w:rsidRPr="00D17F42" w:rsidRDefault="00BD1A0D" w:rsidP="00D86E89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BD1A0D" w:rsidTr="00D86E89">
        <w:tc>
          <w:tcPr>
            <w:tcW w:w="4188" w:type="dxa"/>
            <w:shd w:val="clear" w:color="auto" w:fill="auto"/>
          </w:tcPr>
          <w:p w:rsidR="00BD1A0D" w:rsidRDefault="00BD1A0D" w:rsidP="00D86E89">
            <w:pPr>
              <w:jc w:val="both"/>
            </w:pPr>
            <w:r>
              <w:t>Egyéb sajátos bevétel/ bérleti díj</w:t>
            </w:r>
            <w:proofErr w:type="gramStart"/>
            <w:r>
              <w:t>,lakbér</w:t>
            </w:r>
            <w:proofErr w:type="gramEnd"/>
            <w:r>
              <w:t xml:space="preserve"> urnahely </w:t>
            </w:r>
            <w:proofErr w:type="spellStart"/>
            <w:r>
              <w:t>stb</w:t>
            </w:r>
            <w:proofErr w:type="spellEnd"/>
            <w:r>
              <w:t>/</w:t>
            </w:r>
          </w:p>
        </w:tc>
        <w:tc>
          <w:tcPr>
            <w:tcW w:w="1680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469.886</w:t>
            </w:r>
          </w:p>
        </w:tc>
        <w:tc>
          <w:tcPr>
            <w:tcW w:w="1611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467.276</w:t>
            </w:r>
          </w:p>
        </w:tc>
        <w:tc>
          <w:tcPr>
            <w:tcW w:w="1749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937.162</w:t>
            </w:r>
          </w:p>
        </w:tc>
      </w:tr>
      <w:tr w:rsidR="00BD1A0D" w:rsidTr="00D86E89">
        <w:tc>
          <w:tcPr>
            <w:tcW w:w="4188" w:type="dxa"/>
            <w:shd w:val="clear" w:color="auto" w:fill="auto"/>
          </w:tcPr>
          <w:p w:rsidR="00BD1A0D" w:rsidRDefault="00BD1A0D" w:rsidP="00D86E89">
            <w:pPr>
              <w:jc w:val="both"/>
            </w:pPr>
            <w:r>
              <w:t>Kamatbevétel</w:t>
            </w:r>
          </w:p>
        </w:tc>
        <w:tc>
          <w:tcPr>
            <w:tcW w:w="1680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11</w:t>
            </w:r>
          </w:p>
        </w:tc>
        <w:tc>
          <w:tcPr>
            <w:tcW w:w="1749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11</w:t>
            </w:r>
          </w:p>
        </w:tc>
      </w:tr>
      <w:tr w:rsidR="00BD1A0D" w:rsidTr="00D86E89">
        <w:tc>
          <w:tcPr>
            <w:tcW w:w="4188" w:type="dxa"/>
            <w:shd w:val="clear" w:color="auto" w:fill="auto"/>
          </w:tcPr>
          <w:p w:rsidR="00BD1A0D" w:rsidRDefault="00BD1A0D" w:rsidP="00D86E89">
            <w:pPr>
              <w:jc w:val="both"/>
            </w:pPr>
            <w:r>
              <w:t>Gépjárműadó</w:t>
            </w:r>
          </w:p>
        </w:tc>
        <w:tc>
          <w:tcPr>
            <w:tcW w:w="1680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1.500.000</w:t>
            </w:r>
          </w:p>
        </w:tc>
        <w:tc>
          <w:tcPr>
            <w:tcW w:w="1611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1.500.000</w:t>
            </w:r>
          </w:p>
        </w:tc>
      </w:tr>
      <w:tr w:rsidR="00BD1A0D" w:rsidTr="00D86E89">
        <w:tc>
          <w:tcPr>
            <w:tcW w:w="4188" w:type="dxa"/>
            <w:shd w:val="clear" w:color="auto" w:fill="auto"/>
          </w:tcPr>
          <w:p w:rsidR="00BD1A0D" w:rsidRDefault="00BD1A0D" w:rsidP="00D86E89">
            <w:pPr>
              <w:jc w:val="both"/>
            </w:pPr>
            <w:r>
              <w:t>Iparűzési adó</w:t>
            </w:r>
          </w:p>
        </w:tc>
        <w:tc>
          <w:tcPr>
            <w:tcW w:w="1680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5.400.000</w:t>
            </w:r>
          </w:p>
        </w:tc>
        <w:tc>
          <w:tcPr>
            <w:tcW w:w="1611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5.400.000</w:t>
            </w:r>
          </w:p>
        </w:tc>
      </w:tr>
      <w:tr w:rsidR="00BD1A0D" w:rsidTr="00D86E89">
        <w:tc>
          <w:tcPr>
            <w:tcW w:w="4188" w:type="dxa"/>
            <w:shd w:val="clear" w:color="auto" w:fill="auto"/>
          </w:tcPr>
          <w:p w:rsidR="00BD1A0D" w:rsidRDefault="00BD1A0D" w:rsidP="00D86E89">
            <w:pPr>
              <w:jc w:val="both"/>
            </w:pPr>
            <w:r>
              <w:t>Kommunális adó</w:t>
            </w:r>
          </w:p>
        </w:tc>
        <w:tc>
          <w:tcPr>
            <w:tcW w:w="1680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2.800.000</w:t>
            </w:r>
          </w:p>
        </w:tc>
        <w:tc>
          <w:tcPr>
            <w:tcW w:w="1611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2.800.000</w:t>
            </w:r>
          </w:p>
        </w:tc>
      </w:tr>
      <w:tr w:rsidR="00BD1A0D" w:rsidTr="00D86E89">
        <w:tc>
          <w:tcPr>
            <w:tcW w:w="4188" w:type="dxa"/>
            <w:shd w:val="clear" w:color="auto" w:fill="auto"/>
          </w:tcPr>
          <w:p w:rsidR="00BD1A0D" w:rsidRDefault="00BD1A0D" w:rsidP="00D86E89">
            <w:pPr>
              <w:jc w:val="both"/>
            </w:pPr>
            <w:r>
              <w:t>Adópótlék, bírság</w:t>
            </w:r>
          </w:p>
        </w:tc>
        <w:tc>
          <w:tcPr>
            <w:tcW w:w="1680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175.668</w:t>
            </w:r>
          </w:p>
        </w:tc>
        <w:tc>
          <w:tcPr>
            <w:tcW w:w="1749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175.668</w:t>
            </w:r>
          </w:p>
        </w:tc>
      </w:tr>
      <w:tr w:rsidR="00BD1A0D" w:rsidTr="00D86E89">
        <w:tc>
          <w:tcPr>
            <w:tcW w:w="4188" w:type="dxa"/>
            <w:shd w:val="clear" w:color="auto" w:fill="auto"/>
          </w:tcPr>
          <w:p w:rsidR="00BD1A0D" w:rsidRDefault="00BD1A0D" w:rsidP="00D86E89">
            <w:pPr>
              <w:jc w:val="both"/>
            </w:pPr>
            <w:proofErr w:type="spellStart"/>
            <w:r>
              <w:t>Magánszeméályek</w:t>
            </w:r>
            <w:proofErr w:type="spellEnd"/>
            <w:r>
              <w:t xml:space="preserve"> </w:t>
            </w:r>
            <w:proofErr w:type="spellStart"/>
            <w:r>
              <w:t>jöv</w:t>
            </w:r>
            <w:proofErr w:type="gramStart"/>
            <w:r>
              <w:t>.adói</w:t>
            </w:r>
            <w:proofErr w:type="spellEnd"/>
            <w:proofErr w:type="gramEnd"/>
          </w:p>
        </w:tc>
        <w:tc>
          <w:tcPr>
            <w:tcW w:w="1680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4.129</w:t>
            </w:r>
          </w:p>
        </w:tc>
        <w:tc>
          <w:tcPr>
            <w:tcW w:w="1749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4.129</w:t>
            </w:r>
          </w:p>
        </w:tc>
      </w:tr>
      <w:tr w:rsidR="00BD1A0D" w:rsidTr="00D86E89">
        <w:tc>
          <w:tcPr>
            <w:tcW w:w="4188" w:type="dxa"/>
            <w:shd w:val="clear" w:color="auto" w:fill="auto"/>
          </w:tcPr>
          <w:p w:rsidR="00BD1A0D" w:rsidRDefault="00BD1A0D" w:rsidP="00D86E89">
            <w:pPr>
              <w:jc w:val="both"/>
            </w:pPr>
            <w:r>
              <w:t xml:space="preserve">Átvett </w:t>
            </w:r>
            <w:proofErr w:type="spellStart"/>
            <w:r>
              <w:t>p.eszköz</w:t>
            </w:r>
            <w:proofErr w:type="spellEnd"/>
            <w:r>
              <w:t xml:space="preserve"> OEP-től</w:t>
            </w:r>
          </w:p>
        </w:tc>
        <w:tc>
          <w:tcPr>
            <w:tcW w:w="1680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3.700.000</w:t>
            </w:r>
          </w:p>
        </w:tc>
        <w:tc>
          <w:tcPr>
            <w:tcW w:w="1611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3.700.000</w:t>
            </w:r>
          </w:p>
        </w:tc>
      </w:tr>
      <w:tr w:rsidR="00BD1A0D" w:rsidTr="00D86E89">
        <w:tc>
          <w:tcPr>
            <w:tcW w:w="4188" w:type="dxa"/>
            <w:shd w:val="clear" w:color="auto" w:fill="auto"/>
          </w:tcPr>
          <w:p w:rsidR="00BD1A0D" w:rsidRDefault="00BD1A0D" w:rsidP="00D86E89">
            <w:pPr>
              <w:jc w:val="both"/>
            </w:pPr>
            <w:r>
              <w:t xml:space="preserve">Átvett </w:t>
            </w:r>
            <w:proofErr w:type="spellStart"/>
            <w:r>
              <w:t>p.eszköz</w:t>
            </w:r>
            <w:proofErr w:type="spellEnd"/>
            <w:r>
              <w:t xml:space="preserve"> Helyi </w:t>
            </w:r>
            <w:proofErr w:type="spellStart"/>
            <w:r>
              <w:t>önk.-tól</w:t>
            </w:r>
            <w:proofErr w:type="spellEnd"/>
            <w:proofErr w:type="gramStart"/>
            <w:r>
              <w:t>,Közös</w:t>
            </w:r>
            <w:proofErr w:type="gramEnd"/>
            <w:r>
              <w:t xml:space="preserve"> </w:t>
            </w:r>
            <w:proofErr w:type="spellStart"/>
            <w:r>
              <w:t>Hiv.-tól</w:t>
            </w:r>
            <w:proofErr w:type="spellEnd"/>
          </w:p>
        </w:tc>
        <w:tc>
          <w:tcPr>
            <w:tcW w:w="1680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2.263.528</w:t>
            </w:r>
          </w:p>
        </w:tc>
        <w:tc>
          <w:tcPr>
            <w:tcW w:w="1611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2.263.528</w:t>
            </w:r>
          </w:p>
        </w:tc>
      </w:tr>
      <w:tr w:rsidR="00BD1A0D" w:rsidTr="00D86E89">
        <w:tc>
          <w:tcPr>
            <w:tcW w:w="4188" w:type="dxa"/>
            <w:shd w:val="clear" w:color="auto" w:fill="auto"/>
          </w:tcPr>
          <w:p w:rsidR="00BD1A0D" w:rsidRDefault="00BD1A0D" w:rsidP="00D86E89">
            <w:pPr>
              <w:jc w:val="both"/>
            </w:pPr>
            <w:proofErr w:type="spellStart"/>
            <w:r>
              <w:t>Önkorm</w:t>
            </w:r>
            <w:proofErr w:type="spellEnd"/>
            <w:r>
              <w:t>. költségvetési támogatása</w:t>
            </w:r>
          </w:p>
        </w:tc>
        <w:tc>
          <w:tcPr>
            <w:tcW w:w="1680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64.829.346</w:t>
            </w:r>
          </w:p>
        </w:tc>
        <w:tc>
          <w:tcPr>
            <w:tcW w:w="1611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498.367</w:t>
            </w:r>
          </w:p>
        </w:tc>
        <w:tc>
          <w:tcPr>
            <w:tcW w:w="1749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65.327.713</w:t>
            </w:r>
          </w:p>
        </w:tc>
      </w:tr>
      <w:tr w:rsidR="00BD1A0D" w:rsidTr="00D86E89">
        <w:tc>
          <w:tcPr>
            <w:tcW w:w="4188" w:type="dxa"/>
            <w:shd w:val="clear" w:color="auto" w:fill="auto"/>
          </w:tcPr>
          <w:p w:rsidR="00BD1A0D" w:rsidRDefault="00BD1A0D" w:rsidP="00D86E89">
            <w:pPr>
              <w:jc w:val="both"/>
            </w:pPr>
            <w:r>
              <w:t xml:space="preserve">Központi </w:t>
            </w:r>
            <w:proofErr w:type="spellStart"/>
            <w:r>
              <w:t>kez.előir</w:t>
            </w:r>
            <w:proofErr w:type="spellEnd"/>
            <w:r>
              <w:t>.</w:t>
            </w:r>
          </w:p>
        </w:tc>
        <w:tc>
          <w:tcPr>
            <w:tcW w:w="1680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279.576</w:t>
            </w:r>
          </w:p>
        </w:tc>
        <w:tc>
          <w:tcPr>
            <w:tcW w:w="1749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279.576</w:t>
            </w:r>
          </w:p>
        </w:tc>
      </w:tr>
      <w:tr w:rsidR="00BD1A0D" w:rsidTr="00D86E89">
        <w:tc>
          <w:tcPr>
            <w:tcW w:w="4188" w:type="dxa"/>
            <w:shd w:val="clear" w:color="auto" w:fill="auto"/>
          </w:tcPr>
          <w:p w:rsidR="00BD1A0D" w:rsidRDefault="00BD1A0D" w:rsidP="00D86E89">
            <w:pPr>
              <w:jc w:val="both"/>
            </w:pPr>
            <w:r>
              <w:t xml:space="preserve">Működési célú tám. ért. </w:t>
            </w:r>
            <w:proofErr w:type="spellStart"/>
            <w:r>
              <w:t>bev</w:t>
            </w:r>
            <w:proofErr w:type="spellEnd"/>
            <w:r>
              <w:t xml:space="preserve">. </w:t>
            </w:r>
            <w:proofErr w:type="spellStart"/>
            <w:r>
              <w:t>fej.előir</w:t>
            </w:r>
            <w:proofErr w:type="spellEnd"/>
            <w:r>
              <w:t xml:space="preserve">. </w:t>
            </w:r>
          </w:p>
        </w:tc>
        <w:tc>
          <w:tcPr>
            <w:tcW w:w="1680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17.974.599</w:t>
            </w:r>
          </w:p>
        </w:tc>
        <w:tc>
          <w:tcPr>
            <w:tcW w:w="1749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17.974.599</w:t>
            </w:r>
          </w:p>
        </w:tc>
      </w:tr>
      <w:tr w:rsidR="00BD1A0D" w:rsidTr="00D86E89">
        <w:tc>
          <w:tcPr>
            <w:tcW w:w="4188" w:type="dxa"/>
            <w:shd w:val="clear" w:color="auto" w:fill="auto"/>
          </w:tcPr>
          <w:p w:rsidR="00BD1A0D" w:rsidRDefault="00BD1A0D" w:rsidP="00D86E89">
            <w:pPr>
              <w:jc w:val="both"/>
            </w:pPr>
            <w:proofErr w:type="spellStart"/>
            <w:r>
              <w:t>Fej.kez.EU-s</w:t>
            </w:r>
            <w:proofErr w:type="spellEnd"/>
            <w:r>
              <w:t xml:space="preserve"> program/kerékpárút</w:t>
            </w:r>
          </w:p>
        </w:tc>
        <w:tc>
          <w:tcPr>
            <w:tcW w:w="1680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4.285.500</w:t>
            </w:r>
          </w:p>
        </w:tc>
        <w:tc>
          <w:tcPr>
            <w:tcW w:w="1749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4.285.500</w:t>
            </w:r>
          </w:p>
        </w:tc>
      </w:tr>
      <w:tr w:rsidR="00BD1A0D" w:rsidTr="00D86E89">
        <w:tc>
          <w:tcPr>
            <w:tcW w:w="4188" w:type="dxa"/>
            <w:shd w:val="clear" w:color="auto" w:fill="auto"/>
          </w:tcPr>
          <w:p w:rsidR="00BD1A0D" w:rsidRDefault="00BD1A0D" w:rsidP="00D86E89">
            <w:pPr>
              <w:jc w:val="both"/>
            </w:pPr>
            <w:r>
              <w:t>Közvetített szolgáltatások ellenértéke</w:t>
            </w:r>
          </w:p>
        </w:tc>
        <w:tc>
          <w:tcPr>
            <w:tcW w:w="1680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269.011</w:t>
            </w:r>
          </w:p>
        </w:tc>
        <w:tc>
          <w:tcPr>
            <w:tcW w:w="1749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269.011</w:t>
            </w:r>
          </w:p>
        </w:tc>
      </w:tr>
      <w:tr w:rsidR="00BD1A0D" w:rsidRPr="00D17F42" w:rsidTr="00D86E89">
        <w:tc>
          <w:tcPr>
            <w:tcW w:w="4188" w:type="dxa"/>
            <w:shd w:val="clear" w:color="auto" w:fill="auto"/>
          </w:tcPr>
          <w:p w:rsidR="00BD1A0D" w:rsidRPr="00FB6098" w:rsidRDefault="00BD1A0D" w:rsidP="00D86E89">
            <w:pPr>
              <w:jc w:val="both"/>
            </w:pPr>
            <w:r w:rsidRPr="00FB6098">
              <w:t>Előző évi pénzmaradvány</w:t>
            </w:r>
          </w:p>
        </w:tc>
        <w:tc>
          <w:tcPr>
            <w:tcW w:w="1680" w:type="dxa"/>
            <w:shd w:val="clear" w:color="auto" w:fill="auto"/>
          </w:tcPr>
          <w:p w:rsidR="00BD1A0D" w:rsidRPr="00FB6098" w:rsidRDefault="00BD1A0D" w:rsidP="00D86E89">
            <w:pPr>
              <w:jc w:val="right"/>
            </w:pPr>
            <w:r>
              <w:t>15.858.880</w:t>
            </w:r>
          </w:p>
        </w:tc>
        <w:tc>
          <w:tcPr>
            <w:tcW w:w="1611" w:type="dxa"/>
            <w:shd w:val="clear" w:color="auto" w:fill="auto"/>
          </w:tcPr>
          <w:p w:rsidR="00BD1A0D" w:rsidRPr="00FB6098" w:rsidRDefault="00BD1A0D" w:rsidP="00D86E89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BD1A0D" w:rsidRPr="00FB6098" w:rsidRDefault="00BD1A0D" w:rsidP="00D86E89">
            <w:pPr>
              <w:jc w:val="right"/>
            </w:pPr>
            <w:r>
              <w:t>15.858.880</w:t>
            </w:r>
          </w:p>
        </w:tc>
      </w:tr>
      <w:tr w:rsidR="00BD1A0D" w:rsidRPr="00D17F42" w:rsidTr="00D86E89">
        <w:tc>
          <w:tcPr>
            <w:tcW w:w="4188" w:type="dxa"/>
            <w:shd w:val="clear" w:color="auto" w:fill="auto"/>
          </w:tcPr>
          <w:p w:rsidR="00BD1A0D" w:rsidRPr="00D17F42" w:rsidRDefault="00BD1A0D" w:rsidP="00D86E89">
            <w:pPr>
              <w:jc w:val="both"/>
              <w:rPr>
                <w:b/>
                <w:sz w:val="26"/>
              </w:rPr>
            </w:pPr>
            <w:proofErr w:type="spellStart"/>
            <w:r w:rsidRPr="00D17F42">
              <w:rPr>
                <w:b/>
                <w:sz w:val="26"/>
              </w:rPr>
              <w:t>Önkorm</w:t>
            </w:r>
            <w:proofErr w:type="spellEnd"/>
            <w:r w:rsidRPr="00D17F42">
              <w:rPr>
                <w:b/>
                <w:sz w:val="26"/>
              </w:rPr>
              <w:t>. bevételei összesen:</w:t>
            </w:r>
          </w:p>
        </w:tc>
        <w:tc>
          <w:tcPr>
            <w:tcW w:w="1680" w:type="dxa"/>
            <w:shd w:val="clear" w:color="auto" w:fill="auto"/>
          </w:tcPr>
          <w:p w:rsidR="00BD1A0D" w:rsidRPr="00D17F42" w:rsidRDefault="00BD1A0D" w:rsidP="00D86E89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96.821.640</w:t>
            </w:r>
          </w:p>
        </w:tc>
        <w:tc>
          <w:tcPr>
            <w:tcW w:w="1611" w:type="dxa"/>
            <w:shd w:val="clear" w:color="auto" w:fill="auto"/>
          </w:tcPr>
          <w:p w:rsidR="00BD1A0D" w:rsidRPr="00D17F42" w:rsidRDefault="00BD1A0D" w:rsidP="00D86E89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23.954.137</w:t>
            </w:r>
          </w:p>
        </w:tc>
        <w:tc>
          <w:tcPr>
            <w:tcW w:w="1749" w:type="dxa"/>
            <w:shd w:val="clear" w:color="auto" w:fill="auto"/>
          </w:tcPr>
          <w:p w:rsidR="00BD1A0D" w:rsidRPr="00D17F42" w:rsidRDefault="00BD1A0D" w:rsidP="00D86E89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120.775.777</w:t>
            </w:r>
          </w:p>
        </w:tc>
      </w:tr>
    </w:tbl>
    <w:p w:rsidR="00BD1A0D" w:rsidRDefault="00BD1A0D" w:rsidP="00BD1A0D">
      <w:pPr>
        <w:jc w:val="both"/>
      </w:pPr>
    </w:p>
    <w:p w:rsidR="00BD1A0D" w:rsidRDefault="00BD1A0D" w:rsidP="00BD1A0D">
      <w:pPr>
        <w:jc w:val="both"/>
      </w:pPr>
    </w:p>
    <w:p w:rsidR="00BD1A0D" w:rsidRDefault="00BD1A0D" w:rsidP="00BD1A0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1874"/>
        <w:gridCol w:w="1486"/>
        <w:gridCol w:w="1662"/>
      </w:tblGrid>
      <w:tr w:rsidR="00BD1A0D" w:rsidRPr="00D17F42" w:rsidTr="00D86E89">
        <w:tc>
          <w:tcPr>
            <w:tcW w:w="4188" w:type="dxa"/>
            <w:shd w:val="clear" w:color="auto" w:fill="auto"/>
          </w:tcPr>
          <w:p w:rsidR="00BD1A0D" w:rsidRPr="00D17F42" w:rsidRDefault="00BD1A0D" w:rsidP="00D86E89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Kiadási jogcímek:</w:t>
            </w:r>
          </w:p>
        </w:tc>
        <w:tc>
          <w:tcPr>
            <w:tcW w:w="1874" w:type="dxa"/>
            <w:shd w:val="clear" w:color="auto" w:fill="auto"/>
          </w:tcPr>
          <w:p w:rsidR="00BD1A0D" w:rsidRPr="00D17F42" w:rsidRDefault="00BD1A0D" w:rsidP="00D86E89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486" w:type="dxa"/>
            <w:shd w:val="clear" w:color="auto" w:fill="auto"/>
          </w:tcPr>
          <w:p w:rsidR="00BD1A0D" w:rsidRPr="00D17F42" w:rsidRDefault="00BD1A0D" w:rsidP="00D86E89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662" w:type="dxa"/>
            <w:shd w:val="clear" w:color="auto" w:fill="auto"/>
          </w:tcPr>
          <w:p w:rsidR="00BD1A0D" w:rsidRPr="00D17F42" w:rsidRDefault="00BD1A0D" w:rsidP="00D86E89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BD1A0D" w:rsidTr="00D86E89">
        <w:tc>
          <w:tcPr>
            <w:tcW w:w="4188" w:type="dxa"/>
            <w:shd w:val="clear" w:color="auto" w:fill="auto"/>
          </w:tcPr>
          <w:p w:rsidR="00BD1A0D" w:rsidRDefault="00BD1A0D" w:rsidP="00D86E89">
            <w:pPr>
              <w:jc w:val="both"/>
            </w:pPr>
            <w:r>
              <w:t>Személyi kiadás</w:t>
            </w:r>
          </w:p>
        </w:tc>
        <w:tc>
          <w:tcPr>
            <w:tcW w:w="1874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17.843.700</w:t>
            </w:r>
          </w:p>
        </w:tc>
        <w:tc>
          <w:tcPr>
            <w:tcW w:w="1486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14.417.176</w:t>
            </w:r>
          </w:p>
        </w:tc>
        <w:tc>
          <w:tcPr>
            <w:tcW w:w="1662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32.260.876</w:t>
            </w:r>
          </w:p>
        </w:tc>
      </w:tr>
      <w:tr w:rsidR="00BD1A0D" w:rsidTr="00D86E89">
        <w:tc>
          <w:tcPr>
            <w:tcW w:w="4188" w:type="dxa"/>
            <w:shd w:val="clear" w:color="auto" w:fill="auto"/>
          </w:tcPr>
          <w:p w:rsidR="00BD1A0D" w:rsidRDefault="00BD1A0D" w:rsidP="00D86E89">
            <w:pPr>
              <w:jc w:val="both"/>
            </w:pPr>
            <w:r>
              <w:t>Munkaadókat terhelő járulékok</w:t>
            </w:r>
          </w:p>
        </w:tc>
        <w:tc>
          <w:tcPr>
            <w:tcW w:w="1874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3.474.800</w:t>
            </w:r>
          </w:p>
        </w:tc>
        <w:tc>
          <w:tcPr>
            <w:tcW w:w="1486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1.186.247</w:t>
            </w:r>
          </w:p>
        </w:tc>
        <w:tc>
          <w:tcPr>
            <w:tcW w:w="1662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4.661.047</w:t>
            </w:r>
          </w:p>
        </w:tc>
      </w:tr>
      <w:tr w:rsidR="00BD1A0D" w:rsidTr="00D86E89">
        <w:tc>
          <w:tcPr>
            <w:tcW w:w="4188" w:type="dxa"/>
            <w:shd w:val="clear" w:color="auto" w:fill="auto"/>
          </w:tcPr>
          <w:p w:rsidR="00BD1A0D" w:rsidRDefault="00BD1A0D" w:rsidP="00D86E89">
            <w:pPr>
              <w:jc w:val="both"/>
            </w:pPr>
            <w:r>
              <w:t>Dologi kiadások</w:t>
            </w:r>
          </w:p>
        </w:tc>
        <w:tc>
          <w:tcPr>
            <w:tcW w:w="1874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18.857.077</w:t>
            </w:r>
          </w:p>
        </w:tc>
        <w:tc>
          <w:tcPr>
            <w:tcW w:w="1486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3.194.012</w:t>
            </w:r>
          </w:p>
        </w:tc>
        <w:tc>
          <w:tcPr>
            <w:tcW w:w="1662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22.051.089</w:t>
            </w:r>
          </w:p>
        </w:tc>
      </w:tr>
      <w:tr w:rsidR="00BD1A0D" w:rsidTr="00D86E89">
        <w:tc>
          <w:tcPr>
            <w:tcW w:w="4188" w:type="dxa"/>
            <w:shd w:val="clear" w:color="auto" w:fill="auto"/>
          </w:tcPr>
          <w:p w:rsidR="00BD1A0D" w:rsidRDefault="00BD1A0D" w:rsidP="00D86E89">
            <w:pPr>
              <w:jc w:val="both"/>
            </w:pPr>
            <w:r>
              <w:t>Ellátottak pénzbeli juttatása</w:t>
            </w:r>
          </w:p>
        </w:tc>
        <w:tc>
          <w:tcPr>
            <w:tcW w:w="1874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3.432.000</w:t>
            </w:r>
          </w:p>
        </w:tc>
        <w:tc>
          <w:tcPr>
            <w:tcW w:w="1486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355.600</w:t>
            </w:r>
          </w:p>
        </w:tc>
        <w:tc>
          <w:tcPr>
            <w:tcW w:w="1662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3.787.600</w:t>
            </w:r>
          </w:p>
        </w:tc>
      </w:tr>
      <w:tr w:rsidR="00BD1A0D" w:rsidTr="00D86E89">
        <w:tc>
          <w:tcPr>
            <w:tcW w:w="4188" w:type="dxa"/>
            <w:shd w:val="clear" w:color="auto" w:fill="auto"/>
          </w:tcPr>
          <w:p w:rsidR="00BD1A0D" w:rsidRDefault="00BD1A0D" w:rsidP="00D86E89">
            <w:pPr>
              <w:jc w:val="both"/>
            </w:pPr>
            <w:r>
              <w:t>Átadott pénzeszköz</w:t>
            </w:r>
          </w:p>
        </w:tc>
        <w:tc>
          <w:tcPr>
            <w:tcW w:w="1874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43.685.349</w:t>
            </w:r>
          </w:p>
        </w:tc>
        <w:tc>
          <w:tcPr>
            <w:tcW w:w="1486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-</w:t>
            </w:r>
          </w:p>
        </w:tc>
        <w:tc>
          <w:tcPr>
            <w:tcW w:w="1662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43.685.349</w:t>
            </w:r>
          </w:p>
        </w:tc>
      </w:tr>
      <w:tr w:rsidR="00BD1A0D" w:rsidTr="00D86E89">
        <w:tc>
          <w:tcPr>
            <w:tcW w:w="4188" w:type="dxa"/>
            <w:shd w:val="clear" w:color="auto" w:fill="auto"/>
          </w:tcPr>
          <w:p w:rsidR="00BD1A0D" w:rsidRDefault="00BD1A0D" w:rsidP="00D86E89">
            <w:pPr>
              <w:jc w:val="both"/>
            </w:pPr>
            <w:r>
              <w:t>Elvonások és befizetések</w:t>
            </w:r>
          </w:p>
        </w:tc>
        <w:tc>
          <w:tcPr>
            <w:tcW w:w="1874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2.121.000</w:t>
            </w:r>
          </w:p>
        </w:tc>
        <w:tc>
          <w:tcPr>
            <w:tcW w:w="1486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42.184</w:t>
            </w:r>
          </w:p>
        </w:tc>
        <w:tc>
          <w:tcPr>
            <w:tcW w:w="1662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2.163.184</w:t>
            </w:r>
          </w:p>
        </w:tc>
      </w:tr>
      <w:tr w:rsidR="00BD1A0D" w:rsidRPr="00E3276E" w:rsidTr="00D86E89">
        <w:tc>
          <w:tcPr>
            <w:tcW w:w="4188" w:type="dxa"/>
            <w:shd w:val="clear" w:color="auto" w:fill="auto"/>
          </w:tcPr>
          <w:p w:rsidR="00BD1A0D" w:rsidRPr="00E3276E" w:rsidRDefault="00BD1A0D" w:rsidP="00D86E89">
            <w:pPr>
              <w:jc w:val="both"/>
            </w:pPr>
            <w:r>
              <w:t>Felújítás</w:t>
            </w:r>
            <w:r w:rsidRPr="00E3276E">
              <w:t>i kiadások</w:t>
            </w:r>
          </w:p>
        </w:tc>
        <w:tc>
          <w:tcPr>
            <w:tcW w:w="1874" w:type="dxa"/>
            <w:shd w:val="clear" w:color="auto" w:fill="auto"/>
          </w:tcPr>
          <w:p w:rsidR="00BD1A0D" w:rsidRPr="00E3276E" w:rsidRDefault="00BD1A0D" w:rsidP="00D86E89">
            <w:pPr>
              <w:jc w:val="right"/>
            </w:pPr>
            <w:r>
              <w:t>-</w:t>
            </w:r>
          </w:p>
        </w:tc>
        <w:tc>
          <w:tcPr>
            <w:tcW w:w="1486" w:type="dxa"/>
            <w:shd w:val="clear" w:color="auto" w:fill="auto"/>
          </w:tcPr>
          <w:p w:rsidR="00BD1A0D" w:rsidRPr="00E3276E" w:rsidRDefault="00BD1A0D" w:rsidP="00D86E89">
            <w:pPr>
              <w:jc w:val="right"/>
            </w:pPr>
            <w:r>
              <w:t>1.397.299</w:t>
            </w:r>
          </w:p>
        </w:tc>
        <w:tc>
          <w:tcPr>
            <w:tcW w:w="1662" w:type="dxa"/>
            <w:shd w:val="clear" w:color="auto" w:fill="auto"/>
          </w:tcPr>
          <w:p w:rsidR="00BD1A0D" w:rsidRPr="00E3276E" w:rsidRDefault="00BD1A0D" w:rsidP="00D86E89">
            <w:pPr>
              <w:jc w:val="right"/>
            </w:pPr>
            <w:r>
              <w:t>1.397.299</w:t>
            </w:r>
          </w:p>
        </w:tc>
      </w:tr>
      <w:tr w:rsidR="00BD1A0D" w:rsidRPr="00E3276E" w:rsidTr="00D86E89">
        <w:tc>
          <w:tcPr>
            <w:tcW w:w="4188" w:type="dxa"/>
            <w:shd w:val="clear" w:color="auto" w:fill="auto"/>
          </w:tcPr>
          <w:p w:rsidR="00BD1A0D" w:rsidRPr="00E3276E" w:rsidRDefault="00BD1A0D" w:rsidP="00D86E89">
            <w:pPr>
              <w:jc w:val="both"/>
            </w:pPr>
            <w:r>
              <w:t>Felhalmozási kiadások</w:t>
            </w:r>
          </w:p>
        </w:tc>
        <w:tc>
          <w:tcPr>
            <w:tcW w:w="1874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-</w:t>
            </w:r>
          </w:p>
        </w:tc>
        <w:tc>
          <w:tcPr>
            <w:tcW w:w="1486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1.309.899</w:t>
            </w:r>
          </w:p>
        </w:tc>
        <w:tc>
          <w:tcPr>
            <w:tcW w:w="1662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1.309.899</w:t>
            </w:r>
          </w:p>
        </w:tc>
      </w:tr>
      <w:tr w:rsidR="00BD1A0D" w:rsidRPr="00E3276E" w:rsidTr="00D86E89">
        <w:tc>
          <w:tcPr>
            <w:tcW w:w="4188" w:type="dxa"/>
            <w:shd w:val="clear" w:color="auto" w:fill="auto"/>
          </w:tcPr>
          <w:p w:rsidR="00BD1A0D" w:rsidRDefault="00BD1A0D" w:rsidP="00D86E89">
            <w:pPr>
              <w:jc w:val="both"/>
            </w:pPr>
            <w:r>
              <w:t>Finanszírozási kiadások</w:t>
            </w:r>
          </w:p>
        </w:tc>
        <w:tc>
          <w:tcPr>
            <w:tcW w:w="1874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-</w:t>
            </w:r>
          </w:p>
        </w:tc>
        <w:tc>
          <w:tcPr>
            <w:tcW w:w="1486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2.321.220</w:t>
            </w:r>
          </w:p>
        </w:tc>
        <w:tc>
          <w:tcPr>
            <w:tcW w:w="1662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2.321.220</w:t>
            </w:r>
          </w:p>
        </w:tc>
      </w:tr>
      <w:tr w:rsidR="00BD1A0D" w:rsidRPr="00E3276E" w:rsidTr="00D86E89">
        <w:tc>
          <w:tcPr>
            <w:tcW w:w="4188" w:type="dxa"/>
            <w:shd w:val="clear" w:color="auto" w:fill="auto"/>
          </w:tcPr>
          <w:p w:rsidR="00BD1A0D" w:rsidRDefault="00BD1A0D" w:rsidP="00D86E89">
            <w:pPr>
              <w:jc w:val="both"/>
            </w:pPr>
            <w:r>
              <w:t>Tartalék</w:t>
            </w:r>
          </w:p>
        </w:tc>
        <w:tc>
          <w:tcPr>
            <w:tcW w:w="1874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7.407.714</w:t>
            </w:r>
          </w:p>
        </w:tc>
        <w:tc>
          <w:tcPr>
            <w:tcW w:w="1486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-269.500</w:t>
            </w:r>
          </w:p>
        </w:tc>
        <w:tc>
          <w:tcPr>
            <w:tcW w:w="1662" w:type="dxa"/>
            <w:shd w:val="clear" w:color="auto" w:fill="auto"/>
          </w:tcPr>
          <w:p w:rsidR="00BD1A0D" w:rsidRDefault="00BD1A0D" w:rsidP="00D86E89">
            <w:pPr>
              <w:jc w:val="right"/>
            </w:pPr>
            <w:r>
              <w:t>7.138.214</w:t>
            </w:r>
          </w:p>
        </w:tc>
      </w:tr>
      <w:tr w:rsidR="00BD1A0D" w:rsidRPr="00E3276E" w:rsidTr="00D86E89">
        <w:tc>
          <w:tcPr>
            <w:tcW w:w="4188" w:type="dxa"/>
            <w:shd w:val="clear" w:color="auto" w:fill="auto"/>
          </w:tcPr>
          <w:p w:rsidR="00BD1A0D" w:rsidRDefault="00BD1A0D" w:rsidP="00D86E89">
            <w:pPr>
              <w:jc w:val="both"/>
            </w:pPr>
          </w:p>
        </w:tc>
        <w:tc>
          <w:tcPr>
            <w:tcW w:w="1874" w:type="dxa"/>
            <w:shd w:val="clear" w:color="auto" w:fill="auto"/>
          </w:tcPr>
          <w:p w:rsidR="00BD1A0D" w:rsidRDefault="00BD1A0D" w:rsidP="00D86E89">
            <w:pPr>
              <w:jc w:val="right"/>
            </w:pPr>
          </w:p>
        </w:tc>
        <w:tc>
          <w:tcPr>
            <w:tcW w:w="1486" w:type="dxa"/>
            <w:shd w:val="clear" w:color="auto" w:fill="auto"/>
          </w:tcPr>
          <w:p w:rsidR="00BD1A0D" w:rsidRDefault="00BD1A0D" w:rsidP="00D86E89">
            <w:pPr>
              <w:jc w:val="right"/>
            </w:pPr>
          </w:p>
        </w:tc>
        <w:tc>
          <w:tcPr>
            <w:tcW w:w="1662" w:type="dxa"/>
            <w:shd w:val="clear" w:color="auto" w:fill="auto"/>
          </w:tcPr>
          <w:p w:rsidR="00BD1A0D" w:rsidRDefault="00BD1A0D" w:rsidP="00D86E89">
            <w:pPr>
              <w:jc w:val="right"/>
            </w:pPr>
          </w:p>
        </w:tc>
      </w:tr>
      <w:tr w:rsidR="00BD1A0D" w:rsidRPr="00D17F42" w:rsidTr="00D86E89">
        <w:tc>
          <w:tcPr>
            <w:tcW w:w="4188" w:type="dxa"/>
            <w:shd w:val="clear" w:color="auto" w:fill="auto"/>
          </w:tcPr>
          <w:p w:rsidR="00BD1A0D" w:rsidRPr="00D17F42" w:rsidRDefault="00BD1A0D" w:rsidP="00D86E89">
            <w:pPr>
              <w:jc w:val="both"/>
              <w:rPr>
                <w:b/>
                <w:sz w:val="26"/>
              </w:rPr>
            </w:pPr>
            <w:proofErr w:type="spellStart"/>
            <w:r w:rsidRPr="00D17F42">
              <w:rPr>
                <w:b/>
                <w:sz w:val="26"/>
              </w:rPr>
              <w:t>Önkorm</w:t>
            </w:r>
            <w:proofErr w:type="spellEnd"/>
            <w:r w:rsidRPr="00D17F42">
              <w:rPr>
                <w:b/>
                <w:sz w:val="26"/>
              </w:rPr>
              <w:t>. kiadásai összesen:</w:t>
            </w:r>
          </w:p>
        </w:tc>
        <w:tc>
          <w:tcPr>
            <w:tcW w:w="1874" w:type="dxa"/>
            <w:shd w:val="clear" w:color="auto" w:fill="auto"/>
          </w:tcPr>
          <w:p w:rsidR="00BD1A0D" w:rsidRPr="00D17F42" w:rsidRDefault="00BD1A0D" w:rsidP="00D86E89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96.821.640</w:t>
            </w:r>
          </w:p>
        </w:tc>
        <w:tc>
          <w:tcPr>
            <w:tcW w:w="1486" w:type="dxa"/>
            <w:shd w:val="clear" w:color="auto" w:fill="auto"/>
          </w:tcPr>
          <w:p w:rsidR="00BD1A0D" w:rsidRPr="00D17F42" w:rsidRDefault="00BD1A0D" w:rsidP="00D86E89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23.954.137</w:t>
            </w:r>
          </w:p>
        </w:tc>
        <w:tc>
          <w:tcPr>
            <w:tcW w:w="1662" w:type="dxa"/>
            <w:shd w:val="clear" w:color="auto" w:fill="auto"/>
          </w:tcPr>
          <w:p w:rsidR="00BD1A0D" w:rsidRPr="00D17F42" w:rsidRDefault="00BD1A0D" w:rsidP="00D86E89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120.775.777</w:t>
            </w:r>
          </w:p>
        </w:tc>
      </w:tr>
      <w:tr w:rsidR="00BD1A0D" w:rsidRPr="00D17F42" w:rsidTr="00D86E89">
        <w:tc>
          <w:tcPr>
            <w:tcW w:w="4188" w:type="dxa"/>
            <w:shd w:val="clear" w:color="auto" w:fill="auto"/>
          </w:tcPr>
          <w:p w:rsidR="00BD1A0D" w:rsidRPr="00D17F42" w:rsidRDefault="00BD1A0D" w:rsidP="00D86E89">
            <w:pPr>
              <w:jc w:val="both"/>
              <w:rPr>
                <w:b/>
                <w:sz w:val="26"/>
              </w:rPr>
            </w:pPr>
          </w:p>
        </w:tc>
        <w:tc>
          <w:tcPr>
            <w:tcW w:w="1874" w:type="dxa"/>
            <w:shd w:val="clear" w:color="auto" w:fill="auto"/>
          </w:tcPr>
          <w:p w:rsidR="00BD1A0D" w:rsidRDefault="00BD1A0D" w:rsidP="00D86E89">
            <w:pPr>
              <w:jc w:val="right"/>
              <w:rPr>
                <w:b/>
                <w:sz w:val="26"/>
              </w:rPr>
            </w:pPr>
          </w:p>
        </w:tc>
        <w:tc>
          <w:tcPr>
            <w:tcW w:w="1486" w:type="dxa"/>
            <w:shd w:val="clear" w:color="auto" w:fill="auto"/>
          </w:tcPr>
          <w:p w:rsidR="00BD1A0D" w:rsidRDefault="00BD1A0D" w:rsidP="00D86E89">
            <w:pPr>
              <w:jc w:val="right"/>
              <w:rPr>
                <w:b/>
                <w:sz w:val="26"/>
              </w:rPr>
            </w:pPr>
          </w:p>
        </w:tc>
        <w:tc>
          <w:tcPr>
            <w:tcW w:w="1662" w:type="dxa"/>
            <w:shd w:val="clear" w:color="auto" w:fill="auto"/>
          </w:tcPr>
          <w:p w:rsidR="00BD1A0D" w:rsidRDefault="00BD1A0D" w:rsidP="00D86E89">
            <w:pPr>
              <w:jc w:val="right"/>
              <w:rPr>
                <w:b/>
                <w:sz w:val="26"/>
              </w:rPr>
            </w:pPr>
          </w:p>
        </w:tc>
      </w:tr>
    </w:tbl>
    <w:p w:rsidR="00BD1A0D" w:rsidRDefault="00BD1A0D" w:rsidP="00BD1A0D">
      <w:pPr>
        <w:jc w:val="both"/>
      </w:pPr>
      <w:bookmarkStart w:id="0" w:name="_GoBack"/>
      <w:bookmarkEnd w:id="0"/>
    </w:p>
    <w:p w:rsidR="00BD1A0D" w:rsidRDefault="00BD1A0D" w:rsidP="00BD1A0D">
      <w:pPr>
        <w:jc w:val="both"/>
      </w:pPr>
    </w:p>
    <w:p w:rsidR="000F7379" w:rsidRPr="00BD1A0D" w:rsidRDefault="000F7379" w:rsidP="00BD1A0D"/>
    <w:sectPr w:rsidR="000F7379" w:rsidRPr="00BD1A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AF2" w:rsidRDefault="00A26AF2" w:rsidP="00BD1A0D">
      <w:r>
        <w:separator/>
      </w:r>
    </w:p>
  </w:endnote>
  <w:endnote w:type="continuationSeparator" w:id="0">
    <w:p w:rsidR="00A26AF2" w:rsidRDefault="00A26AF2" w:rsidP="00BD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A0D" w:rsidRPr="00BD1A0D" w:rsidRDefault="00BD1A0D">
    <w:pPr>
      <w:pStyle w:val="llb"/>
      <w:rPr>
        <w:vertAlign w:val="superscript"/>
      </w:rPr>
    </w:pPr>
    <w:r w:rsidRPr="00BD1A0D">
      <w:rPr>
        <w:vertAlign w:val="superscript"/>
      </w:rPr>
      <w:t>2</w:t>
    </w:r>
    <w:r>
      <w:t xml:space="preserve"> Módosította a 12/2018.(XI.27.) </w:t>
    </w:r>
    <w:proofErr w:type="spellStart"/>
    <w:r>
      <w:t>ör</w:t>
    </w:r>
    <w:proofErr w:type="spellEnd"/>
    <w:r>
      <w:t>. 2.§ (1) Hatályos: 2018.XI.28-tól</w:t>
    </w:r>
  </w:p>
  <w:p w:rsidR="00BD1A0D" w:rsidRDefault="00BD1A0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AF2" w:rsidRDefault="00A26AF2" w:rsidP="00BD1A0D">
      <w:r>
        <w:separator/>
      </w:r>
    </w:p>
  </w:footnote>
  <w:footnote w:type="continuationSeparator" w:id="0">
    <w:p w:rsidR="00A26AF2" w:rsidRDefault="00A26AF2" w:rsidP="00BD1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338DC"/>
    <w:multiLevelType w:val="hybridMultilevel"/>
    <w:tmpl w:val="DCB002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55D7D"/>
    <w:multiLevelType w:val="hybridMultilevel"/>
    <w:tmpl w:val="E01ACD04"/>
    <w:lvl w:ilvl="0" w:tplc="58307C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8AC"/>
    <w:rsid w:val="000F7379"/>
    <w:rsid w:val="005C08AC"/>
    <w:rsid w:val="00A26AF2"/>
    <w:rsid w:val="00BD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9E16D-9A14-45BE-8327-96C4ECAB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0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D1A0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D1A0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D1A0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D1A0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D1A0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2</cp:revision>
  <dcterms:created xsi:type="dcterms:W3CDTF">2018-02-13T10:58:00Z</dcterms:created>
  <dcterms:modified xsi:type="dcterms:W3CDTF">2018-11-26T09:47:00Z</dcterms:modified>
</cp:coreProperties>
</file>