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C9C" w:rsidRPr="0020250A" w:rsidRDefault="006F3C9C" w:rsidP="006F3C9C">
      <w:pPr>
        <w:spacing w:after="160" w:line="259" w:lineRule="auto"/>
        <w:jc w:val="center"/>
        <w:rPr>
          <w:b/>
        </w:rPr>
      </w:pPr>
      <w:r w:rsidRPr="0020250A">
        <w:rPr>
          <w:b/>
        </w:rPr>
        <w:t>INDOKLÁS</w:t>
      </w:r>
    </w:p>
    <w:p w:rsidR="006F3C9C" w:rsidRPr="0020250A" w:rsidRDefault="006F3C9C" w:rsidP="006F3C9C">
      <w:pPr>
        <w:spacing w:after="160" w:line="259" w:lineRule="auto"/>
        <w:jc w:val="center"/>
        <w:rPr>
          <w:bCs/>
        </w:rPr>
      </w:pPr>
      <w:r w:rsidRPr="0020250A">
        <w:rPr>
          <w:bCs/>
        </w:rPr>
        <w:t>Általános indoklás</w:t>
      </w:r>
    </w:p>
    <w:p w:rsidR="006F3C9C" w:rsidRPr="0020250A" w:rsidRDefault="006F3C9C" w:rsidP="006F3C9C">
      <w:pPr>
        <w:spacing w:after="160" w:line="259" w:lineRule="auto"/>
        <w:jc w:val="both"/>
        <w:rPr>
          <w:bCs/>
        </w:rPr>
      </w:pPr>
      <w:r w:rsidRPr="0020250A">
        <w:rPr>
          <w:bCs/>
        </w:rPr>
        <w:t xml:space="preserve">Az Önkormányzat Szervezeti és Működési Szabályzata (SZMSZ) a Képviselő-testület működésének egyik legfontosabb alapdokumentuma. A törvényes működés nélkülözhetetlen feltétele, hogy az SZMSZ rendszeres időközönként felülvizsgálatra kerüljön, annak koherenciája a felsőbb szintű jogszabályokkal (azok közül is kiemelten a Magyarország helyi önkormányzatairól szóló 2011. évi CLXXXIX. törvénnyel – továbbiakban: </w:t>
      </w:r>
      <w:proofErr w:type="spellStart"/>
      <w:r w:rsidRPr="0020250A">
        <w:rPr>
          <w:bCs/>
        </w:rPr>
        <w:t>Mötv</w:t>
      </w:r>
      <w:proofErr w:type="spellEnd"/>
      <w:r w:rsidRPr="0020250A">
        <w:rPr>
          <w:bCs/>
        </w:rPr>
        <w:t xml:space="preserve">.) fennálljon. Az SZMSZ felülvizsgálata során megállapítást nyert, hogy több pontosítást is szükséges eszközölni az a jogszabályi koherencia megteremtése, a jogbiztonság elvének való </w:t>
      </w:r>
      <w:proofErr w:type="gramStart"/>
      <w:r w:rsidRPr="0020250A">
        <w:rPr>
          <w:bCs/>
        </w:rPr>
        <w:t>megfelelés  érdekében</w:t>
      </w:r>
      <w:proofErr w:type="gramEnd"/>
      <w:r w:rsidRPr="0020250A">
        <w:rPr>
          <w:bCs/>
        </w:rPr>
        <w:t xml:space="preserve">. </w:t>
      </w: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Az 1. §-hoz: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2.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A képviselő-testület át nem ruházható hatásköreit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ben található felsorolás beépítésével szabályozza a rendelkezés. </w:t>
      </w:r>
    </w:p>
    <w:p w:rsidR="006F3C9C" w:rsidRPr="0020250A" w:rsidRDefault="006F3C9C" w:rsidP="006F3C9C">
      <w:pPr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3. §-hoz:</w:t>
      </w:r>
    </w:p>
    <w:p w:rsidR="006F3C9C" w:rsidRPr="0020250A" w:rsidRDefault="006F3C9C" w:rsidP="006F3C9C">
      <w:pPr>
        <w:rPr>
          <w:bCs/>
        </w:rPr>
      </w:pPr>
      <w:r>
        <w:rPr>
          <w:bCs/>
        </w:rPr>
        <w:t>Az (1) és a (2) bekezdés egyaránt p</w:t>
      </w:r>
      <w:r w:rsidRPr="0020250A">
        <w:rPr>
          <w:bCs/>
        </w:rPr>
        <w:t xml:space="preserve">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4. §-hoz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Az 5. §-hoz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6.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Hatályon kívül helyezi a rendelkezést, mivel az abban foglaltak a zárt ülés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ben rögzített szabályaiból egyértelműen következnek, így képviselő-testületnek e kérdéskör tekintetében nincs rendeletalkotási feladata.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7. §-hoz: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Rögzítésre kerül, hogy a képviselő testület milyen formában hozza meg döntéseit.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8.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A rendelkezés pontosítja, hogy mely határozatok (normatív határozatok) esetén szükséges a rendeletek esetén alkalmazandó közzétételi szabályok alkalmazása.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9.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A 8. §-ban foglalt rendelkezés átvezetése miatt e rendelkezést indokolt hatályon kívül helyezni. </w:t>
      </w: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10. §-hoz: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11.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12.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lastRenderedPageBreak/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13.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14. §-hoz: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A rendelkezések hatályon kívül helyezésének oka, hogy azok nem tartoznak rendeletalkotási hatáskörbe, a bennük foglaltak felsőbb szintű jogszabályokban rögzítésre kerültek.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15.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16. §-hoz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17.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18. §-hoz:</w:t>
      </w:r>
    </w:p>
    <w:p w:rsidR="006F3C9C" w:rsidRPr="0020250A" w:rsidRDefault="006F3C9C" w:rsidP="006F3C9C">
      <w:pPr>
        <w:jc w:val="both"/>
        <w:rPr>
          <w:bCs/>
        </w:rPr>
      </w:pPr>
      <w:r w:rsidRPr="0020250A">
        <w:rPr>
          <w:bCs/>
        </w:rPr>
        <w:t xml:space="preserve">Pontosító rendelkezést tartalmaz az </w:t>
      </w:r>
      <w:proofErr w:type="spellStart"/>
      <w:proofErr w:type="gramStart"/>
      <w:r w:rsidRPr="0020250A">
        <w:rPr>
          <w:bCs/>
        </w:rPr>
        <w:t>Mötv</w:t>
      </w:r>
      <w:proofErr w:type="spellEnd"/>
      <w:r w:rsidRPr="0020250A">
        <w:rPr>
          <w:bCs/>
        </w:rPr>
        <w:t>.-</w:t>
      </w:r>
      <w:proofErr w:type="gramEnd"/>
      <w:r w:rsidRPr="0020250A">
        <w:rPr>
          <w:bCs/>
        </w:rPr>
        <w:t xml:space="preserve">vel való összhang megteremtése érdekében.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19-20. §-hoz: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 xml:space="preserve">A költségvetés és a zárszámadás elkészítését felsőbb szintű jogszabályokban részletesen szabályozzák, ezért az SZMSZ-ben nem szükséges ezek részletezése. </w:t>
      </w:r>
    </w:p>
    <w:p w:rsidR="006F3C9C" w:rsidRPr="0020250A" w:rsidRDefault="006F3C9C" w:rsidP="006F3C9C">
      <w:pPr>
        <w:jc w:val="center"/>
        <w:rPr>
          <w:bCs/>
        </w:rPr>
      </w:pPr>
    </w:p>
    <w:p w:rsidR="006F3C9C" w:rsidRPr="0020250A" w:rsidRDefault="006F3C9C" w:rsidP="006F3C9C">
      <w:pPr>
        <w:jc w:val="center"/>
        <w:rPr>
          <w:bCs/>
        </w:rPr>
      </w:pPr>
      <w:r w:rsidRPr="0020250A">
        <w:rPr>
          <w:bCs/>
        </w:rPr>
        <w:t>A 21. §-hoz</w:t>
      </w:r>
    </w:p>
    <w:p w:rsidR="006F3C9C" w:rsidRPr="0020250A" w:rsidRDefault="006F3C9C" w:rsidP="006F3C9C">
      <w:pPr>
        <w:rPr>
          <w:bCs/>
        </w:rPr>
      </w:pPr>
      <w:r w:rsidRPr="0020250A">
        <w:rPr>
          <w:bCs/>
        </w:rPr>
        <w:t>Hatályba léptető rendelkezést tartalmaz</w:t>
      </w:r>
    </w:p>
    <w:p w:rsidR="006F3C9C" w:rsidRPr="0020250A" w:rsidRDefault="006F3C9C" w:rsidP="006F3C9C">
      <w:pPr>
        <w:spacing w:after="160" w:line="259" w:lineRule="auto"/>
        <w:rPr>
          <w:bCs/>
        </w:rPr>
      </w:pPr>
    </w:p>
    <w:p w:rsidR="006F3C9C" w:rsidRPr="0020250A" w:rsidRDefault="006F3C9C" w:rsidP="006F3C9C">
      <w:pPr>
        <w:spacing w:after="160" w:line="259" w:lineRule="auto"/>
        <w:rPr>
          <w:bCs/>
        </w:rPr>
      </w:pPr>
      <w:r w:rsidRPr="0020250A">
        <w:rPr>
          <w:bCs/>
        </w:rPr>
        <w:t>Ebes, 2019. október 25.</w:t>
      </w:r>
    </w:p>
    <w:p w:rsidR="006F3C9C" w:rsidRPr="0020250A" w:rsidRDefault="006F3C9C" w:rsidP="006F3C9C">
      <w:pPr>
        <w:spacing w:after="160" w:line="259" w:lineRule="auto"/>
        <w:jc w:val="center"/>
        <w:rPr>
          <w:bCs/>
        </w:rPr>
      </w:pPr>
    </w:p>
    <w:p w:rsidR="006F3C9C" w:rsidRPr="0020250A" w:rsidRDefault="006F3C9C" w:rsidP="006F3C9C">
      <w:pPr>
        <w:spacing w:after="160" w:line="259" w:lineRule="auto"/>
        <w:jc w:val="center"/>
        <w:rPr>
          <w:bCs/>
        </w:rPr>
      </w:pPr>
      <w:r w:rsidRPr="0020250A">
        <w:rPr>
          <w:bCs/>
        </w:rPr>
        <w:t>Dr. Morvai Gábor s. k.</w:t>
      </w:r>
    </w:p>
    <w:p w:rsidR="006F3C9C" w:rsidRPr="0020250A" w:rsidRDefault="006F3C9C" w:rsidP="006F3C9C">
      <w:pPr>
        <w:spacing w:after="160" w:line="259" w:lineRule="auto"/>
        <w:jc w:val="center"/>
        <w:rPr>
          <w:bCs/>
        </w:rPr>
      </w:pPr>
      <w:r w:rsidRPr="0020250A">
        <w:rPr>
          <w:bCs/>
        </w:rPr>
        <w:t>jegyző</w:t>
      </w:r>
    </w:p>
    <w:p w:rsidR="00C71C4A" w:rsidRDefault="00C71C4A">
      <w:bookmarkStart w:id="0" w:name="_GoBack"/>
      <w:bookmarkEnd w:id="0"/>
    </w:p>
    <w:sectPr w:rsidR="00C7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93"/>
    <w:rsid w:val="006F3C9C"/>
    <w:rsid w:val="00B23693"/>
    <w:rsid w:val="00C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52002-7379-4826-8E1C-CC1A232B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3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2020-01-30T10:40:00Z</dcterms:created>
  <dcterms:modified xsi:type="dcterms:W3CDTF">2020-01-30T10:41:00Z</dcterms:modified>
</cp:coreProperties>
</file>