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8D" w:rsidRDefault="007A668D" w:rsidP="007A668D">
      <w:pPr>
        <w:widowControl/>
        <w:overflowPunct/>
        <w:autoSpaceDE/>
        <w:adjustRightInd/>
        <w:spacing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I. Általános indokolás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>Fejér Megyei Önkormányzat Közgyűlésének a Fejér Megyei Önkormányzat és Szervei Szervezeti és Működési Szabályzatáról szóló 10/2014 (XII.19.)</w:t>
      </w:r>
      <w:r>
        <w:rPr>
          <w:rFonts w:ascii="Arial" w:eastAsia="Calibri" w:hAnsi="Arial" w:cs="Arial"/>
          <w:b/>
          <w:bCs/>
          <w:kern w:val="0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önkormányzati rendeletének elfogadása óta egyrészt számos jogszabályváltozás volt, aminek az átvezetése szükséges, másrészt a mindennapi munka során is igény merült fel arra vonatkozóan, hogy egészítsük ki, pontosítsuk a jelenlegi szabályainkat. A tervezet készítésekor elsődleges szempont volt a demokratikus alapintézmények következetes </w:t>
      </w:r>
      <w:proofErr w:type="spellStart"/>
      <w:r>
        <w:rPr>
          <w:rFonts w:ascii="Arial" w:eastAsia="Calibri" w:hAnsi="Arial" w:cs="Arial"/>
          <w:kern w:val="0"/>
          <w:sz w:val="24"/>
          <w:szCs w:val="24"/>
          <w:lang w:eastAsia="en-US"/>
        </w:rPr>
        <w:t>végigvitele</w:t>
      </w:r>
      <w:proofErr w:type="spellEnd"/>
      <w:r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a rendeleten, így a nyilvánosság alapelve, a társadalmi szervezetek, önszerveződő közösségek bevonása a döntéshozatalba, az inkluzív önkormányzatiság alapjainak megteremtése.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Az SZMSZ jogszabályi alapját elsősorban Magyarország Alaptörvénye és Magyarország helyi önkormányzatairól szóló 2011. évi CLXXXIX. törvény (a továbbiakban: </w:t>
      </w:r>
      <w:proofErr w:type="spellStart"/>
      <w:r>
        <w:rPr>
          <w:rFonts w:ascii="Arial" w:eastAsia="Calibri" w:hAnsi="Arial" w:cs="Arial"/>
          <w:kern w:val="0"/>
          <w:sz w:val="24"/>
          <w:szCs w:val="24"/>
          <w:lang w:eastAsia="en-US"/>
        </w:rPr>
        <w:t>Mötv</w:t>
      </w:r>
      <w:proofErr w:type="spellEnd"/>
      <w:r>
        <w:rPr>
          <w:rFonts w:ascii="Arial" w:eastAsia="Calibri" w:hAnsi="Arial" w:cs="Arial"/>
          <w:kern w:val="0"/>
          <w:sz w:val="24"/>
          <w:szCs w:val="24"/>
          <w:lang w:eastAsia="en-US"/>
        </w:rPr>
        <w:t>.) adja, illetve felhasználásra kerültek a vonatkozó ágazati jogszabályok, valamint önkormányzati rendeletek is.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Az SZMSZ függelékébe került szabályozásra számos olyan jogintézmény, melynek elfogadása határozattal történik (pl. </w:t>
      </w:r>
      <w:r>
        <w:rPr>
          <w:rFonts w:ascii="Arial" w:hAnsi="Arial" w:cs="Arial"/>
          <w:kern w:val="0"/>
          <w:sz w:val="24"/>
          <w:szCs w:val="24"/>
        </w:rPr>
        <w:t>önkormányzat alaptevékenységének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kormányzati funkciók szerinti besorolása), de feltüntetésük indokolt.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II. Részletes indokolás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  <w:t>I. Fejezethez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 fejezet az Általános rendelkezések alcím alatt (</w:t>
      </w:r>
      <w:r>
        <w:rPr>
          <w:rFonts w:ascii="Arial" w:hAnsi="Arial" w:cs="Arial"/>
          <w:kern w:val="0"/>
          <w:sz w:val="24"/>
          <w:szCs w:val="24"/>
        </w:rPr>
        <w:t>1. §), mint a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>z önkormányzat, a Közgyűlés, a hivatal hivatalos megnevezését és adatait, míg a 3. alcíme a bélyegző lenyomatra vonatkozó szabályokat tartalmazza</w:t>
      </w:r>
      <w:r>
        <w:rPr>
          <w:rFonts w:ascii="Arial" w:eastAsia="Arial" w:hAnsi="Arial" w:cs="Arial"/>
          <w:kern w:val="0"/>
          <w:sz w:val="24"/>
          <w:szCs w:val="24"/>
          <w:lang w:eastAsia="en-US"/>
        </w:rPr>
        <w:t xml:space="preserve">. 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US"/>
        </w:rPr>
        <w:t>2. alcím</w:t>
      </w: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US"/>
        </w:rPr>
        <w:t>az önkormányzat jelképeire vonatkozó megállapításokat tartalmaz.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4. alcím a helyi önkormányzás legfontosabb alapelve a nyilvánosság biztosítása, melynek során szabályozásra került, hogy a helyben szokásos módon történő kihirdetésnek </w:t>
      </w:r>
      <w:r>
        <w:rPr>
          <w:rFonts w:ascii="Arial" w:hAnsi="Arial" w:cs="Arial"/>
          <w:kern w:val="0"/>
          <w:sz w:val="24"/>
          <w:szCs w:val="24"/>
        </w:rPr>
        <w:t xml:space="preserve">a hirdetmény hivatal </w:t>
      </w:r>
      <w:r>
        <w:rPr>
          <w:rFonts w:ascii="Arial" w:eastAsia="Arial" w:hAnsi="Arial" w:cs="Arial"/>
          <w:kern w:val="0"/>
          <w:sz w:val="24"/>
          <w:szCs w:val="24"/>
        </w:rPr>
        <w:t>h</w:t>
      </w:r>
      <w:r>
        <w:rPr>
          <w:rFonts w:ascii="Arial" w:hAnsi="Arial" w:cs="Arial"/>
          <w:kern w:val="0"/>
          <w:sz w:val="24"/>
          <w:szCs w:val="24"/>
        </w:rPr>
        <w:t xml:space="preserve">irdetőtábláján történő elhelyezés minősül, joghatások is ettől az időponttól </w:t>
      </w:r>
      <w:proofErr w:type="spellStart"/>
      <w:r>
        <w:rPr>
          <w:rFonts w:ascii="Arial" w:hAnsi="Arial" w:cs="Arial"/>
          <w:kern w:val="0"/>
          <w:sz w:val="24"/>
          <w:szCs w:val="24"/>
        </w:rPr>
        <w:t>eredezhetnek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míg egyéb tájékoztatási módként igénybe vehető még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az önkormányzat honlapja. 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hAnsi="Arial" w:cs="Arial"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Cs/>
          <w:color w:val="000000"/>
          <w:kern w:val="0"/>
          <w:sz w:val="24"/>
          <w:szCs w:val="24"/>
        </w:rPr>
        <w:t>5. alcím a testvér-települési kapcsolatokat rögzíti.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hAnsi="Arial" w:cs="Arial"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Cs/>
          <w:color w:val="000000"/>
          <w:kern w:val="0"/>
          <w:sz w:val="24"/>
          <w:szCs w:val="24"/>
        </w:rPr>
        <w:t xml:space="preserve">A lakossággal, a társadalmi szervezetekkel, önszerveződő közösségekkel való együttműködés szabályait a 6. alcím tartalmazza. 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  <w:t>II. Fejezethez</w:t>
      </w:r>
    </w:p>
    <w:p w:rsidR="007A668D" w:rsidRDefault="007A668D" w:rsidP="007A668D">
      <w:pPr>
        <w:keepNext/>
        <w:widowControl/>
        <w:overflowPunct/>
        <w:autoSpaceDE/>
        <w:adjustRightInd/>
        <w:spacing w:line="276" w:lineRule="auto"/>
        <w:jc w:val="both"/>
        <w:outlineLvl w:val="5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:rsidR="007A668D" w:rsidRDefault="007A668D" w:rsidP="007A668D">
      <w:pPr>
        <w:keepNext/>
        <w:widowControl/>
        <w:overflowPunct/>
        <w:autoSpaceDE/>
        <w:adjustRightInd/>
        <w:spacing w:line="276" w:lineRule="auto"/>
        <w:jc w:val="both"/>
        <w:outlineLvl w:val="5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 II. fejezet az önkormányzati feladat-és hatásköröket tartalmazza.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Az önkormányzat alaptevékenységének kormányzati funkciók szerinti besorolását a rendelet 4. függeléke tartalmazza.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  <w:t>III. Fejezethez</w:t>
      </w:r>
    </w:p>
    <w:p w:rsidR="007A668D" w:rsidRDefault="007A668D" w:rsidP="007A668D">
      <w:pPr>
        <w:widowControl/>
        <w:tabs>
          <w:tab w:val="left" w:pos="426"/>
        </w:tabs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tabs>
          <w:tab w:val="left" w:pos="426"/>
        </w:tabs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US"/>
        </w:rPr>
        <w:lastRenderedPageBreak/>
        <w:t>A 10. alcím a Közgyűlés létszámáról, üléseiről tartalmaz rendelkezéseket.</w:t>
      </w: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eastAsia="en-US"/>
        </w:rPr>
        <w:t>A képviselők és a közgyűlés elnöke nevét a rendelet 1. függeléke tartalmazza.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:lang w:eastAsia="en-US"/>
        </w:rPr>
        <w:t>11. alcím a Közgyűlés alakuló ülésére, míg a 12. alcím a Közgyűlés rendes, míg a 14. alcím a rendkívüli ülésére vonatkozó szabályokról rendelkezik. Meghatározásra kerültek az üléstervre vonatkozó előírások is, mely meghatározza, hogy ki tehet és meddig javaslatot az üléstervre, és annak mit kell tartalmaznia.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:lang w:eastAsia="en-US"/>
        </w:rPr>
        <w:t>Sajátos Közgyűlési ülés a közmeghallgatás, mely jogintézményre vonatkozó előírások a 15. alcímben kaptak helyet.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n-US"/>
        </w:rPr>
      </w:pPr>
      <w:r>
        <w:rPr>
          <w:rFonts w:ascii="Arial" w:eastAsia="Arial" w:hAnsi="Arial" w:cs="Arial"/>
          <w:kern w:val="0"/>
          <w:sz w:val="24"/>
          <w:szCs w:val="24"/>
          <w:lang w:eastAsia="en-US"/>
        </w:rPr>
        <w:t xml:space="preserve">A 16-27. alcímek a Közgyűlés működésére vonatkozó szabályokról rendelkeznek. Így arról, hogy kit kell meghívni és milyen ügyekben a Közgyűlés ülésére, a Közgyűlés ülését miként kell megtartani, mi a teendő „széksértés” esetén, mikor határozatképes a </w:t>
      </w:r>
      <w:proofErr w:type="spellStart"/>
      <w:r>
        <w:rPr>
          <w:rFonts w:ascii="Arial" w:eastAsia="Arial" w:hAnsi="Arial" w:cs="Arial"/>
          <w:kern w:val="0"/>
          <w:sz w:val="24"/>
          <w:szCs w:val="24"/>
          <w:lang w:eastAsia="en-US"/>
        </w:rPr>
        <w:t>grénium</w:t>
      </w:r>
      <w:proofErr w:type="spellEnd"/>
      <w:r>
        <w:rPr>
          <w:rFonts w:ascii="Arial" w:eastAsia="Arial" w:hAnsi="Arial" w:cs="Arial"/>
          <w:kern w:val="0"/>
          <w:sz w:val="24"/>
          <w:szCs w:val="24"/>
          <w:lang w:eastAsia="en-US"/>
        </w:rPr>
        <w:t>, milyen napirendek tárgyalhatók meg milyen előterjesztések, indítványok alapján, hogyan történik a határozathozatal, milyen ügyekben kell névszerinti vagy titkos szavazást tartani.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n-US"/>
        </w:rPr>
      </w:pPr>
      <w:r>
        <w:rPr>
          <w:rFonts w:ascii="Arial" w:eastAsia="Arial" w:hAnsi="Arial" w:cs="Arial"/>
          <w:kern w:val="0"/>
          <w:sz w:val="24"/>
          <w:szCs w:val="24"/>
          <w:lang w:eastAsia="en-US"/>
        </w:rPr>
        <w:t>A jegyzőkönyvre, a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z önkormányzati rendeletre, </w:t>
      </w:r>
      <w:r>
        <w:rPr>
          <w:rFonts w:ascii="Arial" w:eastAsia="Arial" w:hAnsi="Arial" w:cs="Arial"/>
          <w:kern w:val="0"/>
          <w:sz w:val="24"/>
          <w:szCs w:val="24"/>
          <w:lang w:eastAsia="en-US"/>
        </w:rPr>
        <w:t>az önkormányzati határozatra vonatkozó szabályok is ebben a fejezetben kerültek elhelyezésre.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Arial" w:hAnsi="Arial" w:cs="Arial"/>
          <w:b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</w:pPr>
      <w:bookmarkStart w:id="0" w:name="_Hlk26179546"/>
      <w:r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  <w:t>IV. Fejezethez</w:t>
      </w:r>
    </w:p>
    <w:bookmarkEnd w:id="0"/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iCs/>
          <w:kern w:val="0"/>
          <w:sz w:val="24"/>
          <w:szCs w:val="24"/>
          <w:lang w:eastAsia="en-US"/>
        </w:rPr>
        <w:t xml:space="preserve">A 28. alcím szabályozza az önkormányzati képviselőre vonatkozó szabályokat, ezen belül </w:t>
      </w:r>
      <w:r>
        <w:rPr>
          <w:rFonts w:ascii="Arial" w:eastAsia="Arial" w:hAnsi="Arial" w:cs="Arial"/>
          <w:kern w:val="0"/>
          <w:sz w:val="24"/>
          <w:szCs w:val="24"/>
          <w:lang w:eastAsia="en-US"/>
        </w:rPr>
        <w:t xml:space="preserve">a 64.§ rendelkezik az </w:t>
      </w:r>
      <w:proofErr w:type="spellStart"/>
      <w:r>
        <w:rPr>
          <w:rFonts w:ascii="Arial" w:eastAsia="Arial" w:hAnsi="Arial" w:cs="Arial"/>
          <w:kern w:val="0"/>
          <w:sz w:val="24"/>
          <w:szCs w:val="24"/>
          <w:lang w:eastAsia="en-US"/>
        </w:rPr>
        <w:t>Mötv</w:t>
      </w:r>
      <w:proofErr w:type="spellEnd"/>
      <w:r>
        <w:rPr>
          <w:rFonts w:ascii="Arial" w:eastAsia="Arial" w:hAnsi="Arial" w:cs="Arial"/>
          <w:kern w:val="0"/>
          <w:sz w:val="24"/>
          <w:szCs w:val="24"/>
          <w:lang w:eastAsia="en-US"/>
        </w:rPr>
        <w:t xml:space="preserve">. szerinti képviselői kötelezettség elmulasztásának jogkövetkezményeiről. 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n-US"/>
        </w:rPr>
      </w:pPr>
      <w:r>
        <w:rPr>
          <w:rFonts w:ascii="Arial" w:eastAsia="Arial" w:hAnsi="Arial" w:cs="Arial"/>
          <w:kern w:val="0"/>
          <w:sz w:val="24"/>
          <w:szCs w:val="24"/>
          <w:lang w:eastAsia="en-US"/>
        </w:rPr>
        <w:t>A 29. alcím a képviselőcsoportra vonatkozó legfontosabb rendelkezéseket tartalmazza.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  <w:t>V. Fejezethez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Arial" w:hAnsi="Arial" w:cs="Arial"/>
          <w:b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tabs>
          <w:tab w:val="left" w:pos="2835"/>
        </w:tabs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US"/>
        </w:rPr>
        <w:t xml:space="preserve">Az V. fejezet a Közgyűlés szerveire, mint a közgyűlés elnökére, a közgyűlés alelnökeire, bizottságokra, a megyei jegyzőre, megyei aljegyzőre, az önkormányzati hivatalra vonatkozóan tartalmaz rendelkezéseket. </w:t>
      </w:r>
    </w:p>
    <w:p w:rsidR="007A668D" w:rsidRDefault="007A668D" w:rsidP="007A668D">
      <w:pPr>
        <w:widowControl/>
        <w:tabs>
          <w:tab w:val="left" w:pos="2835"/>
        </w:tabs>
        <w:overflowPunct/>
        <w:autoSpaceDE/>
        <w:adjustRightInd/>
        <w:spacing w:line="276" w:lineRule="auto"/>
        <w:jc w:val="both"/>
        <w:rPr>
          <w:rFonts w:ascii="Arial" w:eastAsia="Arial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bizottságok összetételét a tervezet, </w:t>
      </w:r>
      <w:r>
        <w:rPr>
          <w:rFonts w:ascii="Arial" w:eastAsia="Arial" w:hAnsi="Arial" w:cs="Arial"/>
          <w:kern w:val="0"/>
          <w:sz w:val="24"/>
          <w:szCs w:val="24"/>
          <w:lang w:eastAsia="en-US"/>
        </w:rPr>
        <w:t xml:space="preserve">feladatköreit a rendelet-tervezet 2. függeléke tartalmazza. A közgyűlési elnök, a bizottságok átruházott feladat- és hatásköreit az 1. melléklet tartalmazza. 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  <w:t>VI. Fejezethez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Ebben a fejezetben kerültek szabályozásra a térségi fejlesztési tanácsokra vonatkozó rendelkezések is.</w:t>
      </w:r>
    </w:p>
    <w:p w:rsidR="007A668D" w:rsidRDefault="007A668D" w:rsidP="007A668D">
      <w:pPr>
        <w:overflowPunct/>
        <w:autoSpaceDE/>
        <w:adjustRightInd/>
        <w:spacing w:line="276" w:lineRule="auto"/>
        <w:jc w:val="both"/>
        <w:rPr>
          <w:rFonts w:ascii="Arial" w:eastAsia="Arial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2"/>
          <w:sz w:val="24"/>
          <w:szCs w:val="24"/>
          <w:lang w:eastAsia="zh-CN" w:bidi="hi-IN"/>
        </w:rPr>
        <w:t xml:space="preserve">Az együttes Közgyűlési ülések szabályairól a 37. alcím rendelkezik. 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  <w:t>VII. Fejezethez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 38. alcím a területi nemzetiségi önkormányzatokkal kapcsolatos együttműködés szabályait tartalmazza.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  <w:t>VIII. Fejezethez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Az önkormányzat gazdasági programjára és a vagyonra vonatkozó rendelkezések ebben a fejezetbe kerültek szabályozásra.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  <w:t>IX. Fejezethez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 gazdálkodás alapjait tartalmazza ez a fejezet.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i/>
          <w:kern w:val="0"/>
          <w:sz w:val="24"/>
          <w:szCs w:val="24"/>
          <w:lang w:eastAsia="en-US"/>
        </w:rPr>
        <w:t>X. Fejezethez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 hatályba léptető és a hatályon kívül helyező rendelkezéseket tartalmazza.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III. Előzetes hatásvizsgálat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Társadalmi, gazdasági hatása: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A demokrácia, így </w:t>
      </w:r>
      <w:proofErr w:type="gramStart"/>
      <w:r>
        <w:rPr>
          <w:rFonts w:ascii="Arial" w:eastAsia="Calibri" w:hAnsi="Arial" w:cs="Arial"/>
          <w:kern w:val="0"/>
          <w:sz w:val="24"/>
          <w:szCs w:val="24"/>
          <w:lang w:eastAsia="en-US"/>
        </w:rPr>
        <w:t>annak</w:t>
      </w:r>
      <w:proofErr w:type="gramEnd"/>
      <w:r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alapintézményének, mint a helyi önkormányzás - amely a megye választópolgárai közösségének joga, melynek során érvényre jut az állampolgári felelősségérzet, kibontakozik az alkotó együttműködés a helyi közösségen belül, valamint a helyi közügyekben demokratikus módon, széles körű nyilvánosságot teremtve kifejezi és megvalósítja a helyi közakaratot - feltételeinek megteremtését, illetve erősödését idézheti elő.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Költségvetési hatása: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 rendelet megalkotás önmagában nincs hatással a megye költségvetésére.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Adminisztratív terheket befolyásoló hatása: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 rendelet elfogadása többlet terhet nem okoz.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Egyéb hatása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: 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Nincs.</w:t>
      </w:r>
    </w:p>
    <w:p w:rsidR="007A668D" w:rsidRDefault="007A668D" w:rsidP="007A668D">
      <w:pPr>
        <w:widowControl/>
        <w:overflowPunct/>
        <w:autoSpaceDE/>
        <w:adjustRightInd/>
        <w:spacing w:line="276" w:lineRule="auto"/>
        <w:jc w:val="both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A jogszabály alkalmazásához szükséges személyi, szervezeti, tárgyi és pénzügyi feltételek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rendelkezésre állnak.</w:t>
      </w:r>
    </w:p>
    <w:p w:rsidR="006A3646" w:rsidRDefault="007A668D">
      <w:bookmarkStart w:id="1" w:name="_GoBack"/>
      <w:bookmarkEnd w:id="1"/>
    </w:p>
    <w:sectPr w:rsidR="006A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8D"/>
    <w:rsid w:val="000873AF"/>
    <w:rsid w:val="00164056"/>
    <w:rsid w:val="0017405F"/>
    <w:rsid w:val="0024607C"/>
    <w:rsid w:val="00297101"/>
    <w:rsid w:val="002D4FEC"/>
    <w:rsid w:val="00312B72"/>
    <w:rsid w:val="003C2132"/>
    <w:rsid w:val="003E5795"/>
    <w:rsid w:val="00455BE1"/>
    <w:rsid w:val="00520B4F"/>
    <w:rsid w:val="0054637D"/>
    <w:rsid w:val="006F0DBC"/>
    <w:rsid w:val="007808A1"/>
    <w:rsid w:val="007A668D"/>
    <w:rsid w:val="007D381F"/>
    <w:rsid w:val="007D439F"/>
    <w:rsid w:val="007D70A6"/>
    <w:rsid w:val="008D3230"/>
    <w:rsid w:val="009C006C"/>
    <w:rsid w:val="00A437B7"/>
    <w:rsid w:val="00A95117"/>
    <w:rsid w:val="00AF25D0"/>
    <w:rsid w:val="00B313B4"/>
    <w:rsid w:val="00B55C3A"/>
    <w:rsid w:val="00C704D0"/>
    <w:rsid w:val="00C9058A"/>
    <w:rsid w:val="00D17469"/>
    <w:rsid w:val="00D57A33"/>
    <w:rsid w:val="00E0704A"/>
    <w:rsid w:val="00E27C55"/>
    <w:rsid w:val="00E35520"/>
    <w:rsid w:val="00E54042"/>
    <w:rsid w:val="00E9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AEF55-56F6-4894-98B0-6E9FFD5E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668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Czövek Erika</dc:creator>
  <cp:keywords/>
  <dc:description/>
  <cp:lastModifiedBy>Tóthné Czövek Erika</cp:lastModifiedBy>
  <cp:revision>1</cp:revision>
  <dcterms:created xsi:type="dcterms:W3CDTF">2019-12-18T15:39:00Z</dcterms:created>
  <dcterms:modified xsi:type="dcterms:W3CDTF">2019-12-18T15:39:00Z</dcterms:modified>
</cp:coreProperties>
</file>