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EA3" w:rsidRPr="0053604C" w:rsidRDefault="00727EA3" w:rsidP="00727EA3">
      <w:pPr>
        <w:pageBreakBefore/>
        <w:ind w:right="-1"/>
        <w:jc w:val="both"/>
      </w:pPr>
      <w:r>
        <w:tab/>
      </w:r>
      <w:r>
        <w:tab/>
      </w:r>
      <w:r>
        <w:tab/>
      </w:r>
      <w:r>
        <w:tab/>
      </w:r>
      <w:r w:rsidRPr="0053604C">
        <w:rPr>
          <w:rFonts w:cs="Times New Roman"/>
          <w:b/>
        </w:rPr>
        <w:t xml:space="preserve">1.  melléklet </w:t>
      </w:r>
      <w:proofErr w:type="gramStart"/>
      <w:r w:rsidRPr="0053604C">
        <w:rPr>
          <w:rFonts w:cs="Times New Roman"/>
          <w:b/>
        </w:rPr>
        <w:t xml:space="preserve">a  </w:t>
      </w:r>
      <w:r>
        <w:rPr>
          <w:rFonts w:cs="Times New Roman"/>
          <w:b/>
        </w:rPr>
        <w:t>3</w:t>
      </w:r>
      <w:proofErr w:type="gramEnd"/>
      <w:r w:rsidRPr="0053604C">
        <w:rPr>
          <w:rFonts w:cs="Times New Roman"/>
          <w:b/>
        </w:rPr>
        <w:t xml:space="preserve"> /2018. (III. 21.) önkormányzati rendelethez</w:t>
      </w:r>
    </w:p>
    <w:p w:rsidR="00727EA3" w:rsidRPr="0053604C" w:rsidRDefault="00727EA3" w:rsidP="00727EA3">
      <w:pPr>
        <w:keepNext/>
        <w:widowControl/>
        <w:tabs>
          <w:tab w:val="left" w:pos="851"/>
        </w:tabs>
        <w:ind w:left="360"/>
        <w:jc w:val="center"/>
        <w:rPr>
          <w:rFonts w:cs="Times New Roman"/>
          <w:b/>
        </w:rPr>
      </w:pPr>
      <w:r w:rsidRPr="0053604C">
        <w:rPr>
          <w:rFonts w:cs="Times New Roman"/>
          <w:b/>
        </w:rPr>
        <w:t>Átruházott hatáskörök</w:t>
      </w:r>
    </w:p>
    <w:p w:rsidR="00727EA3" w:rsidRPr="0053604C" w:rsidRDefault="00727EA3" w:rsidP="00727EA3">
      <w:pPr>
        <w:keepNext/>
        <w:widowControl/>
        <w:tabs>
          <w:tab w:val="left" w:pos="851"/>
        </w:tabs>
        <w:ind w:left="360"/>
        <w:jc w:val="center"/>
        <w:rPr>
          <w:rFonts w:cs="Times New Roman"/>
          <w:b/>
          <w:sz w:val="28"/>
        </w:rPr>
      </w:pPr>
      <w:r w:rsidRPr="0053604C">
        <w:rPr>
          <w:rFonts w:cs="Times New Roman"/>
          <w:b/>
          <w:sz w:val="28"/>
        </w:rPr>
        <w:t>Polgármester</w:t>
      </w:r>
    </w:p>
    <w:p w:rsidR="00727EA3" w:rsidRPr="0053604C" w:rsidRDefault="00727EA3" w:rsidP="00727EA3">
      <w:pPr>
        <w:widowControl/>
        <w:suppressAutoHyphens w:val="0"/>
        <w:spacing w:after="160"/>
        <w:rPr>
          <w:rFonts w:cs="Times New Roman"/>
          <w:b/>
        </w:rPr>
      </w:pPr>
    </w:p>
    <w:p w:rsidR="00727EA3" w:rsidRPr="0053604C" w:rsidRDefault="00727EA3" w:rsidP="00727EA3">
      <w:pPr>
        <w:widowControl/>
        <w:spacing w:line="300" w:lineRule="exact"/>
        <w:jc w:val="both"/>
        <w:rPr>
          <w:rFonts w:eastAsia="Times New Roman" w:cs="Times New Roman"/>
          <w:kern w:val="0"/>
          <w:lang w:eastAsia="ar-SA" w:bidi="ar-SA"/>
        </w:rPr>
      </w:pPr>
      <w:r w:rsidRPr="0053604C">
        <w:rPr>
          <w:rFonts w:eastAsia="Times New Roman" w:cs="Times New Roman"/>
          <w:kern w:val="0"/>
          <w:lang w:eastAsia="ar-SA" w:bidi="ar-SA"/>
        </w:rPr>
        <w:t>1. lakhatási támogatás</w:t>
      </w:r>
    </w:p>
    <w:p w:rsidR="00727EA3" w:rsidRPr="0053604C" w:rsidRDefault="00727EA3" w:rsidP="00727EA3">
      <w:pPr>
        <w:widowControl/>
        <w:spacing w:line="300" w:lineRule="exact"/>
        <w:jc w:val="both"/>
        <w:rPr>
          <w:rFonts w:eastAsia="Times New Roman" w:cs="Times New Roman"/>
          <w:kern w:val="0"/>
          <w:lang w:eastAsia="ar-SA" w:bidi="ar-SA"/>
        </w:rPr>
      </w:pPr>
      <w:r w:rsidRPr="0053604C">
        <w:rPr>
          <w:rFonts w:eastAsia="Times New Roman" w:cs="Times New Roman"/>
          <w:kern w:val="0"/>
          <w:lang w:eastAsia="ar-SA" w:bidi="ar-SA"/>
        </w:rPr>
        <w:t>2. rendkívüli települési támogatás</w:t>
      </w:r>
    </w:p>
    <w:p w:rsidR="00727EA3" w:rsidRPr="0053604C" w:rsidRDefault="00727EA3" w:rsidP="00727EA3">
      <w:pPr>
        <w:widowControl/>
        <w:spacing w:line="300" w:lineRule="exact"/>
        <w:jc w:val="both"/>
        <w:rPr>
          <w:rFonts w:eastAsia="Times New Roman" w:cs="Times New Roman"/>
          <w:kern w:val="0"/>
          <w:lang w:eastAsia="ar-SA" w:bidi="ar-SA"/>
        </w:rPr>
      </w:pPr>
      <w:r w:rsidRPr="0053604C">
        <w:rPr>
          <w:rFonts w:eastAsia="Times New Roman" w:cs="Times New Roman"/>
          <w:kern w:val="0"/>
          <w:lang w:eastAsia="ar-SA" w:bidi="ar-SA"/>
        </w:rPr>
        <w:t>3. települési temetési támogatás</w:t>
      </w:r>
    </w:p>
    <w:p w:rsidR="00727EA3" w:rsidRPr="0053604C" w:rsidRDefault="00727EA3" w:rsidP="00727EA3">
      <w:pPr>
        <w:widowControl/>
        <w:spacing w:line="300" w:lineRule="exact"/>
        <w:jc w:val="both"/>
        <w:rPr>
          <w:rFonts w:eastAsia="Times New Roman" w:cs="Times New Roman"/>
          <w:kern w:val="0"/>
          <w:lang w:eastAsia="ar-SA" w:bidi="ar-SA"/>
        </w:rPr>
      </w:pPr>
      <w:r w:rsidRPr="0053604C">
        <w:rPr>
          <w:rFonts w:eastAsia="Times New Roman" w:cs="Times New Roman"/>
          <w:kern w:val="0"/>
          <w:lang w:eastAsia="ar-SA" w:bidi="ar-SA"/>
        </w:rPr>
        <w:t>4. köztemetés</w:t>
      </w:r>
    </w:p>
    <w:p w:rsidR="00727EA3" w:rsidRPr="0053604C" w:rsidRDefault="00727EA3" w:rsidP="00727EA3">
      <w:pPr>
        <w:widowControl/>
        <w:spacing w:line="300" w:lineRule="exact"/>
        <w:jc w:val="both"/>
        <w:rPr>
          <w:rFonts w:eastAsia="Times New Roman" w:cs="Times New Roman"/>
          <w:kern w:val="0"/>
          <w:lang w:eastAsia="ar-SA" w:bidi="ar-SA"/>
        </w:rPr>
      </w:pPr>
      <w:r w:rsidRPr="0053604C">
        <w:rPr>
          <w:rFonts w:eastAsia="Times New Roman" w:cs="Times New Roman"/>
          <w:kern w:val="0"/>
          <w:lang w:eastAsia="ar-SA" w:bidi="ar-SA"/>
        </w:rPr>
        <w:t>5. elsőszülött gyermek után járó támogatás</w:t>
      </w:r>
    </w:p>
    <w:p w:rsidR="00727EA3" w:rsidRPr="0053604C" w:rsidRDefault="00727EA3" w:rsidP="00727EA3">
      <w:pPr>
        <w:widowControl/>
        <w:spacing w:line="300" w:lineRule="exact"/>
        <w:jc w:val="both"/>
        <w:rPr>
          <w:rFonts w:eastAsia="Times New Roman" w:cs="Times New Roman"/>
          <w:kern w:val="0"/>
          <w:lang w:eastAsia="ar-SA" w:bidi="ar-SA"/>
        </w:rPr>
      </w:pPr>
      <w:r w:rsidRPr="0053604C">
        <w:rPr>
          <w:rFonts w:eastAsia="Times New Roman" w:cs="Times New Roman"/>
          <w:kern w:val="0"/>
          <w:lang w:eastAsia="ar-SA" w:bidi="ar-SA"/>
        </w:rPr>
        <w:t>6. gyógyszertámogatás</w:t>
      </w:r>
    </w:p>
    <w:p w:rsidR="00727EA3" w:rsidRPr="0053604C" w:rsidRDefault="00727EA3" w:rsidP="00727EA3">
      <w:pPr>
        <w:widowControl/>
        <w:spacing w:line="300" w:lineRule="exact"/>
        <w:jc w:val="both"/>
        <w:rPr>
          <w:rFonts w:eastAsia="Times New Roman" w:cs="Times New Roman"/>
          <w:kern w:val="0"/>
          <w:lang w:eastAsia="ar-SA" w:bidi="ar-SA"/>
        </w:rPr>
      </w:pPr>
      <w:r w:rsidRPr="0053604C">
        <w:rPr>
          <w:rFonts w:eastAsia="Times New Roman" w:cs="Times New Roman"/>
          <w:kern w:val="0"/>
          <w:lang w:eastAsia="ar-SA" w:bidi="ar-SA"/>
        </w:rPr>
        <w:t>7. szociális étkeztetés</w:t>
      </w:r>
    </w:p>
    <w:p w:rsidR="00727EA3" w:rsidRPr="0053604C" w:rsidRDefault="00727EA3" w:rsidP="00727EA3">
      <w:pPr>
        <w:widowControl/>
        <w:spacing w:line="300" w:lineRule="exact"/>
        <w:jc w:val="both"/>
        <w:rPr>
          <w:rFonts w:eastAsia="Times New Roman" w:cs="Times New Roman"/>
          <w:kern w:val="0"/>
          <w:lang w:eastAsia="ar-SA" w:bidi="ar-SA"/>
        </w:rPr>
      </w:pPr>
      <w:r w:rsidRPr="0053604C">
        <w:rPr>
          <w:rFonts w:eastAsia="Times New Roman" w:cs="Times New Roman"/>
          <w:kern w:val="0"/>
          <w:lang w:eastAsia="ar-SA" w:bidi="ar-SA"/>
        </w:rPr>
        <w:t>8. Időskorúak támogatása</w:t>
      </w:r>
    </w:p>
    <w:p w:rsidR="00727EA3" w:rsidRPr="0053604C" w:rsidRDefault="00727EA3" w:rsidP="00727EA3">
      <w:pPr>
        <w:widowControl/>
        <w:spacing w:line="300" w:lineRule="exact"/>
        <w:jc w:val="both"/>
        <w:rPr>
          <w:rFonts w:eastAsia="Times New Roman" w:cs="Times New Roman"/>
          <w:kern w:val="0"/>
          <w:lang w:eastAsia="ar-SA" w:bidi="ar-SA"/>
        </w:rPr>
      </w:pPr>
      <w:r w:rsidRPr="0053604C">
        <w:rPr>
          <w:rFonts w:eastAsia="Times New Roman" w:cs="Times New Roman"/>
          <w:kern w:val="0"/>
          <w:lang w:eastAsia="ar-SA" w:bidi="ar-SA"/>
        </w:rPr>
        <w:t>9. gazdálkodást segítő támogatás</w:t>
      </w:r>
    </w:p>
    <w:p w:rsidR="00727EA3" w:rsidRPr="0053604C" w:rsidRDefault="00727EA3" w:rsidP="00727EA3">
      <w:pPr>
        <w:widowControl/>
        <w:spacing w:line="300" w:lineRule="exact"/>
        <w:jc w:val="both"/>
        <w:rPr>
          <w:rFonts w:eastAsia="Times New Roman" w:cs="Times New Roman"/>
          <w:kern w:val="0"/>
          <w:lang w:eastAsia="ar-SA" w:bidi="ar-SA"/>
        </w:rPr>
      </w:pPr>
      <w:r w:rsidRPr="0053604C">
        <w:rPr>
          <w:rFonts w:eastAsia="Times New Roman" w:cs="Times New Roman"/>
          <w:kern w:val="0"/>
          <w:lang w:eastAsia="ar-SA" w:bidi="ar-SA"/>
        </w:rPr>
        <w:t>10. Természetben nyújtott lakásbiztonsági támogatás</w:t>
      </w:r>
    </w:p>
    <w:p w:rsidR="00727EA3" w:rsidRPr="0053604C" w:rsidRDefault="00727EA3" w:rsidP="00727EA3">
      <w:pPr>
        <w:widowControl/>
        <w:spacing w:line="300" w:lineRule="exact"/>
        <w:rPr>
          <w:rFonts w:eastAsia="Times New Roman" w:cs="Times New Roman"/>
          <w:kern w:val="0"/>
          <w:lang w:eastAsia="ar-SA" w:bidi="ar-SA"/>
        </w:rPr>
      </w:pPr>
      <w:r w:rsidRPr="0053604C">
        <w:rPr>
          <w:rFonts w:eastAsia="Times New Roman" w:cs="Times New Roman"/>
          <w:kern w:val="0"/>
          <w:lang w:eastAsia="ar-SA" w:bidi="ar-SA"/>
        </w:rPr>
        <w:t>11. nyugdíjszerű ellátásban részesülők hulladékszállítási támogatása</w:t>
      </w:r>
    </w:p>
    <w:p w:rsidR="00727EA3" w:rsidRPr="0053604C" w:rsidRDefault="00727EA3" w:rsidP="00727EA3">
      <w:pPr>
        <w:widowControl/>
        <w:spacing w:line="300" w:lineRule="exact"/>
        <w:rPr>
          <w:rFonts w:eastAsia="Times New Roman" w:cs="Times New Roman"/>
          <w:kern w:val="0"/>
          <w:lang w:eastAsia="ar-SA" w:bidi="ar-SA"/>
        </w:rPr>
      </w:pPr>
      <w:r w:rsidRPr="0053604C">
        <w:rPr>
          <w:rFonts w:eastAsia="Times New Roman" w:cs="Times New Roman"/>
          <w:kern w:val="0"/>
          <w:lang w:eastAsia="ar-SA" w:bidi="ar-SA"/>
        </w:rPr>
        <w:t xml:space="preserve">12.óvodából elballagott gyermekek, általános iskola 8 osztályát elvégzett </w:t>
      </w:r>
      <w:proofErr w:type="gramStart"/>
      <w:r w:rsidRPr="0053604C">
        <w:rPr>
          <w:rFonts w:eastAsia="Times New Roman" w:cs="Times New Roman"/>
          <w:kern w:val="0"/>
          <w:lang w:eastAsia="ar-SA" w:bidi="ar-SA"/>
        </w:rPr>
        <w:t>diákok,  középiskolai</w:t>
      </w:r>
      <w:proofErr w:type="gramEnd"/>
      <w:r w:rsidRPr="0053604C">
        <w:rPr>
          <w:rFonts w:eastAsia="Times New Roman" w:cs="Times New Roman"/>
          <w:kern w:val="0"/>
          <w:lang w:eastAsia="ar-SA" w:bidi="ar-SA"/>
        </w:rPr>
        <w:t xml:space="preserve"> tanulmányaikat elvégzett diákok, államilag elismert felsőfokú végzettséget szerzett diákok támogatása </w:t>
      </w:r>
    </w:p>
    <w:p w:rsidR="00727EA3" w:rsidRPr="0053604C" w:rsidRDefault="00727EA3" w:rsidP="00727EA3">
      <w:pPr>
        <w:spacing w:line="300" w:lineRule="exact"/>
        <w:jc w:val="both"/>
        <w:rPr>
          <w:rFonts w:cs="Times New Roman"/>
        </w:rPr>
      </w:pPr>
      <w:r w:rsidRPr="0053604C">
        <w:rPr>
          <w:rFonts w:eastAsia="Times New Roman" w:cs="Times New Roman"/>
          <w:kern w:val="0"/>
          <w:lang w:eastAsia="ar-SA" w:bidi="ar-SA"/>
        </w:rPr>
        <w:t xml:space="preserve">13. Szépkorúak támogatása                                                    </w:t>
      </w:r>
    </w:p>
    <w:p w:rsidR="00727EA3" w:rsidRPr="0053604C" w:rsidRDefault="00727EA3" w:rsidP="00727EA3">
      <w:pPr>
        <w:widowControl/>
        <w:suppressAutoHyphens w:val="0"/>
        <w:spacing w:after="160" w:line="300" w:lineRule="exact"/>
        <w:rPr>
          <w:rFonts w:eastAsia="Times New Roman" w:cs="Times New Roman"/>
          <w:color w:val="000000"/>
          <w:kern w:val="0"/>
          <w:lang w:eastAsia="hu-HU" w:bidi="ar-SA"/>
        </w:rPr>
      </w:pPr>
      <w:r w:rsidRPr="0053604C">
        <w:rPr>
          <w:rFonts w:eastAsia="Times New Roman" w:cs="Times New Roman"/>
          <w:color w:val="000000"/>
          <w:kern w:val="0"/>
          <w:lang w:eastAsia="hu-HU" w:bidi="ar-SA"/>
        </w:rPr>
        <w:t>14. házasságot kötők támogatásával kapcsolatos feladat- és hatásköröket   </w:t>
      </w:r>
    </w:p>
    <w:p w:rsidR="00727EA3" w:rsidRPr="0053604C" w:rsidRDefault="00727EA3" w:rsidP="00727EA3">
      <w:pPr>
        <w:widowControl/>
        <w:suppressAutoHyphens w:val="0"/>
        <w:spacing w:after="160" w:line="300" w:lineRule="exact"/>
        <w:rPr>
          <w:rFonts w:eastAsia="Times New Roman" w:cs="Times New Roman"/>
          <w:b/>
          <w:bCs/>
          <w:color w:val="000000"/>
          <w:kern w:val="0"/>
          <w:lang w:eastAsia="hu-HU" w:bidi="ar-SA"/>
        </w:rPr>
      </w:pPr>
      <w:r w:rsidRPr="0053604C">
        <w:rPr>
          <w:rFonts w:cs="Times New Roman"/>
        </w:rPr>
        <w:t>15. ingatlanok kezelése és bérbeadói jogok</w:t>
      </w:r>
      <w:r w:rsidRPr="0053604C">
        <w:rPr>
          <w:rFonts w:eastAsia="Times New Roman" w:cs="Times New Roman"/>
          <w:b/>
          <w:bCs/>
          <w:color w:val="000000"/>
          <w:kern w:val="0"/>
          <w:lang w:eastAsia="hu-HU" w:bidi="ar-SA"/>
        </w:rPr>
        <w:t xml:space="preserve"> </w:t>
      </w:r>
    </w:p>
    <w:p w:rsidR="00727EA3" w:rsidRPr="0053604C" w:rsidRDefault="00727EA3" w:rsidP="00727EA3">
      <w:pPr>
        <w:shd w:val="clear" w:color="auto" w:fill="FFFFFF"/>
        <w:tabs>
          <w:tab w:val="left" w:pos="426"/>
        </w:tabs>
        <w:overflowPunct w:val="0"/>
        <w:autoSpaceDE w:val="0"/>
        <w:spacing w:before="80" w:line="300" w:lineRule="exact"/>
        <w:jc w:val="both"/>
        <w:textAlignment w:val="baseline"/>
        <w:rPr>
          <w:rFonts w:cs="Times New Roman"/>
          <w:kern w:val="2"/>
        </w:rPr>
      </w:pPr>
      <w:r w:rsidRPr="0053604C">
        <w:rPr>
          <w:rFonts w:cs="Times New Roman"/>
          <w:kern w:val="2"/>
        </w:rPr>
        <w:t>16. a tulajdonosi jog gyakorlója döntései alapján a szerződéseket megkö</w:t>
      </w:r>
      <w:r>
        <w:rPr>
          <w:rFonts w:cs="Times New Roman"/>
          <w:kern w:val="2"/>
        </w:rPr>
        <w:t>tése</w:t>
      </w:r>
      <w:r w:rsidRPr="0053604C">
        <w:rPr>
          <w:rFonts w:cs="Times New Roman"/>
          <w:kern w:val="2"/>
        </w:rPr>
        <w:t>,</w:t>
      </w:r>
    </w:p>
    <w:p w:rsidR="00727EA3" w:rsidRPr="0053604C" w:rsidRDefault="00727EA3" w:rsidP="00727EA3">
      <w:pPr>
        <w:shd w:val="clear" w:color="auto" w:fill="FFFFFF"/>
        <w:tabs>
          <w:tab w:val="left" w:pos="426"/>
        </w:tabs>
        <w:overflowPunct w:val="0"/>
        <w:autoSpaceDE w:val="0"/>
        <w:spacing w:before="80" w:line="300" w:lineRule="exact"/>
        <w:jc w:val="both"/>
        <w:textAlignment w:val="baseline"/>
        <w:rPr>
          <w:rFonts w:cs="Times New Roman"/>
          <w:kern w:val="2"/>
        </w:rPr>
      </w:pPr>
      <w:r w:rsidRPr="0053604C">
        <w:rPr>
          <w:rFonts w:cs="Times New Roman"/>
          <w:kern w:val="2"/>
        </w:rPr>
        <w:t>17. ellenőrizze a szerződésben foglaltak teljesítését és indokolt esetben megtegye azokat a jognyilatkozatokat, amelyek szerződés felbontására vagy megszüntetésére irányulnak, vagy érvényesítse az önkormányzat igényeit, ideértve bírósági eljárás megindítását is,</w:t>
      </w:r>
    </w:p>
    <w:p w:rsidR="00727EA3" w:rsidRPr="0053604C" w:rsidRDefault="00727EA3" w:rsidP="00727EA3">
      <w:pPr>
        <w:shd w:val="clear" w:color="auto" w:fill="FFFFFF"/>
        <w:tabs>
          <w:tab w:val="left" w:pos="426"/>
        </w:tabs>
        <w:overflowPunct w:val="0"/>
        <w:autoSpaceDE w:val="0"/>
        <w:spacing w:before="80" w:line="300" w:lineRule="exact"/>
        <w:jc w:val="both"/>
        <w:textAlignment w:val="baseline"/>
        <w:rPr>
          <w:rFonts w:cs="Times New Roman"/>
          <w:kern w:val="2"/>
        </w:rPr>
      </w:pPr>
      <w:r w:rsidRPr="0053604C">
        <w:rPr>
          <w:rFonts w:cs="Times New Roman"/>
          <w:kern w:val="2"/>
        </w:rPr>
        <w:t>18. önállóan elutasítson olyan szerződési ajánlatokat, amelyek elfogadása jogszabályi rendelkezéssel, vagy önkormányzati határozatban előírtakkal ellentétes lenne,</w:t>
      </w:r>
    </w:p>
    <w:p w:rsidR="00727EA3" w:rsidRPr="0053604C" w:rsidRDefault="00727EA3" w:rsidP="00727EA3">
      <w:pPr>
        <w:shd w:val="clear" w:color="auto" w:fill="FFFFFF"/>
        <w:tabs>
          <w:tab w:val="left" w:pos="426"/>
        </w:tabs>
        <w:overflowPunct w:val="0"/>
        <w:autoSpaceDE w:val="0"/>
        <w:spacing w:before="80" w:line="300" w:lineRule="exact"/>
        <w:jc w:val="both"/>
        <w:textAlignment w:val="baseline"/>
        <w:rPr>
          <w:rFonts w:cs="Times New Roman"/>
          <w:kern w:val="2"/>
        </w:rPr>
      </w:pPr>
      <w:r w:rsidRPr="0053604C">
        <w:rPr>
          <w:rFonts w:cs="Times New Roman"/>
          <w:kern w:val="2"/>
        </w:rPr>
        <w:t>19. közműszolgáltatók részére közművezetékek elhelyezése céljára vezetékjogot, vagy szolgalmi jogot, vagy használati jogot önkormányzati ingatlanokon olyan mértékig biztosítson, amelyek az érintett ingatlanok rendeltetés szerinti felhasználását nem befolyásolják,</w:t>
      </w:r>
    </w:p>
    <w:p w:rsidR="00727EA3" w:rsidRPr="0053604C" w:rsidRDefault="00727EA3" w:rsidP="00727EA3">
      <w:pPr>
        <w:shd w:val="clear" w:color="auto" w:fill="FFFFFF"/>
        <w:tabs>
          <w:tab w:val="left" w:pos="426"/>
        </w:tabs>
        <w:overflowPunct w:val="0"/>
        <w:autoSpaceDE w:val="0"/>
        <w:spacing w:before="80" w:line="300" w:lineRule="exact"/>
        <w:jc w:val="both"/>
        <w:textAlignment w:val="baseline"/>
        <w:rPr>
          <w:rFonts w:cs="Times New Roman"/>
          <w:kern w:val="2"/>
        </w:rPr>
      </w:pPr>
      <w:r w:rsidRPr="0053604C">
        <w:rPr>
          <w:rFonts w:cs="Times New Roman"/>
          <w:kern w:val="2"/>
        </w:rPr>
        <w:t xml:space="preserve">20. vezeték-, szolgalmi- és használati jogot biztosító szerződéseket az önkormányzat, mint jogosult javára egymillió forint értékhatárig önállóan </w:t>
      </w:r>
      <w:proofErr w:type="spellStart"/>
      <w:r w:rsidRPr="0053604C">
        <w:rPr>
          <w:rFonts w:cs="Times New Roman"/>
          <w:kern w:val="2"/>
        </w:rPr>
        <w:t>megkössön</w:t>
      </w:r>
      <w:proofErr w:type="spellEnd"/>
      <w:r w:rsidRPr="0053604C">
        <w:rPr>
          <w:rFonts w:cs="Times New Roman"/>
          <w:kern w:val="2"/>
        </w:rPr>
        <w:t>,</w:t>
      </w:r>
    </w:p>
    <w:p w:rsidR="00727EA3" w:rsidRPr="0053604C" w:rsidRDefault="00727EA3" w:rsidP="00727EA3">
      <w:pPr>
        <w:shd w:val="clear" w:color="auto" w:fill="FFFFFF"/>
        <w:tabs>
          <w:tab w:val="left" w:pos="426"/>
        </w:tabs>
        <w:overflowPunct w:val="0"/>
        <w:autoSpaceDE w:val="0"/>
        <w:spacing w:before="80" w:line="300" w:lineRule="exact"/>
        <w:jc w:val="both"/>
        <w:textAlignment w:val="baseline"/>
        <w:rPr>
          <w:rFonts w:cs="Times New Roman"/>
          <w:kern w:val="2"/>
        </w:rPr>
      </w:pPr>
      <w:r w:rsidRPr="0053604C">
        <w:rPr>
          <w:rFonts w:cs="Times New Roman"/>
          <w:kern w:val="2"/>
        </w:rPr>
        <w:t>21. hozzájáruljon közterület használatához, vagy erre szerződést kössön, ha a használat közterületként nyilvántartott földrészlet rendeltetésének megfelelő használatát biztosítja,</w:t>
      </w:r>
    </w:p>
    <w:p w:rsidR="00727EA3" w:rsidRPr="0053604C" w:rsidRDefault="00727EA3" w:rsidP="00727EA3">
      <w:pPr>
        <w:shd w:val="clear" w:color="auto" w:fill="FFFFFF"/>
        <w:tabs>
          <w:tab w:val="left" w:pos="426"/>
        </w:tabs>
        <w:overflowPunct w:val="0"/>
        <w:autoSpaceDE w:val="0"/>
        <w:spacing w:before="80" w:line="300" w:lineRule="exact"/>
        <w:jc w:val="both"/>
        <w:textAlignment w:val="baseline"/>
        <w:rPr>
          <w:rFonts w:cs="Times New Roman"/>
          <w:kern w:val="2"/>
        </w:rPr>
      </w:pPr>
      <w:r w:rsidRPr="0053604C">
        <w:rPr>
          <w:rFonts w:cs="Times New Roman"/>
          <w:kern w:val="2"/>
        </w:rPr>
        <w:t>22. döntsön az építési telkekre bejegyzett visszavásárlási joggal kapcsolatos kérelmekről,</w:t>
      </w:r>
    </w:p>
    <w:p w:rsidR="00727EA3" w:rsidRPr="0053604C" w:rsidRDefault="00727EA3" w:rsidP="00727EA3">
      <w:pPr>
        <w:shd w:val="clear" w:color="auto" w:fill="FFFFFF"/>
        <w:tabs>
          <w:tab w:val="left" w:pos="426"/>
        </w:tabs>
        <w:overflowPunct w:val="0"/>
        <w:autoSpaceDE w:val="0"/>
        <w:spacing w:before="80" w:line="300" w:lineRule="exact"/>
        <w:jc w:val="both"/>
        <w:textAlignment w:val="baseline"/>
        <w:rPr>
          <w:rFonts w:cs="Times New Roman"/>
          <w:kern w:val="2"/>
        </w:rPr>
      </w:pPr>
      <w:r w:rsidRPr="0053604C">
        <w:rPr>
          <w:rFonts w:cs="Times New Roman"/>
          <w:kern w:val="2"/>
        </w:rPr>
        <w:t>23. döntsön a vállalkozói telkekre bejegyzett jogokkal, tényekkel kapcsolatos kérelmekről.</w:t>
      </w:r>
    </w:p>
    <w:p w:rsidR="00727EA3" w:rsidRPr="0053604C" w:rsidRDefault="00727EA3" w:rsidP="00727EA3">
      <w:pPr>
        <w:spacing w:line="300" w:lineRule="exact"/>
        <w:jc w:val="both"/>
        <w:rPr>
          <w:rFonts w:cs="Times New Roman"/>
        </w:rPr>
      </w:pPr>
      <w:r w:rsidRPr="0053604C">
        <w:rPr>
          <w:rFonts w:cs="Times New Roman"/>
        </w:rPr>
        <w:t xml:space="preserve">24.  a követelés behajthatatlan és összege </w:t>
      </w:r>
      <w:r w:rsidRPr="00250CF0">
        <w:rPr>
          <w:rFonts w:cs="Times New Roman"/>
          <w:i/>
        </w:rPr>
        <w:t>100.000</w:t>
      </w:r>
      <w:r w:rsidRPr="00250CF0">
        <w:rPr>
          <w:rFonts w:cs="Times New Roman"/>
        </w:rPr>
        <w:t xml:space="preserve"> Ft-ig</w:t>
      </w:r>
      <w:r w:rsidRPr="0053604C">
        <w:rPr>
          <w:rFonts w:cs="Times New Roman"/>
        </w:rPr>
        <w:t xml:space="preserve"> terjed, a követelésről lemondani a </w:t>
      </w:r>
      <w:r w:rsidRPr="00C13D97">
        <w:rPr>
          <w:rFonts w:cs="Times New Roman"/>
        </w:rPr>
        <w:t>polgármester</w:t>
      </w:r>
      <w:r w:rsidRPr="0053604C">
        <w:rPr>
          <w:rFonts w:cs="Times New Roman"/>
        </w:rPr>
        <w:t xml:space="preserve"> engedélyével lehet, melyről a Képviselő-testületet a következő rendes ülésen tájékoztatni kell.</w:t>
      </w:r>
    </w:p>
    <w:p w:rsidR="00727EA3" w:rsidRPr="0053604C" w:rsidRDefault="00727EA3" w:rsidP="00727EA3">
      <w:pPr>
        <w:spacing w:line="300" w:lineRule="exact"/>
        <w:jc w:val="both"/>
        <w:rPr>
          <w:rFonts w:cs="Times New Roman"/>
        </w:rPr>
      </w:pPr>
    </w:p>
    <w:p w:rsidR="00727EA3" w:rsidRPr="0053604C" w:rsidRDefault="00727EA3" w:rsidP="00727EA3">
      <w:pPr>
        <w:widowControl/>
        <w:tabs>
          <w:tab w:val="left" w:pos="426"/>
          <w:tab w:val="left" w:pos="2835"/>
        </w:tabs>
        <w:suppressAutoHyphens w:val="0"/>
        <w:spacing w:line="300" w:lineRule="exact"/>
        <w:jc w:val="both"/>
        <w:rPr>
          <w:rFonts w:cs="Times New Roman"/>
          <w:kern w:val="2"/>
        </w:rPr>
      </w:pPr>
    </w:p>
    <w:p w:rsidR="00727EA3" w:rsidRPr="0053604C" w:rsidRDefault="00727EA3" w:rsidP="00727EA3">
      <w:pPr>
        <w:keepNext/>
        <w:keepLines/>
        <w:spacing w:after="120" w:line="300" w:lineRule="exact"/>
        <w:jc w:val="both"/>
        <w:rPr>
          <w:rFonts w:eastAsia="SimSun" w:cs="Times New Roman"/>
          <w:kern w:val="2"/>
        </w:rPr>
      </w:pPr>
      <w:r w:rsidRPr="0053604C">
        <w:rPr>
          <w:rFonts w:eastAsia="SimSun" w:cs="Times New Roman"/>
          <w:kern w:val="2"/>
        </w:rPr>
        <w:lastRenderedPageBreak/>
        <w:t xml:space="preserve">25.  A polgármester a forgalomképtelen vagyon hasznosítása során eljárva gondoskodik a vagyontárgyak hasznosítására irányuló megállapodások, szerződések megkötéséről, valamint a tulajdonosi pozícióból eredő jognyilatkozatok kiadásáról.  </w:t>
      </w:r>
    </w:p>
    <w:p w:rsidR="00727EA3" w:rsidRPr="0053604C" w:rsidRDefault="00727EA3" w:rsidP="00727EA3">
      <w:pPr>
        <w:tabs>
          <w:tab w:val="left" w:pos="426"/>
          <w:tab w:val="left" w:pos="2835"/>
        </w:tabs>
        <w:spacing w:line="300" w:lineRule="exact"/>
        <w:jc w:val="both"/>
        <w:rPr>
          <w:rFonts w:cs="Times New Roman"/>
        </w:rPr>
      </w:pPr>
      <w:r w:rsidRPr="0053604C">
        <w:rPr>
          <w:rFonts w:cs="Times New Roman"/>
        </w:rPr>
        <w:t xml:space="preserve">26. Nem többségi önkormányzati tulajdonban lévő gazdasági társaságokban a képviselő-testület külön döntése hiányában képviseli az önkormányzatot </w:t>
      </w:r>
    </w:p>
    <w:p w:rsidR="00727EA3" w:rsidRPr="0053604C" w:rsidRDefault="00727EA3" w:rsidP="00727EA3">
      <w:pPr>
        <w:spacing w:line="300" w:lineRule="exact"/>
        <w:jc w:val="both"/>
        <w:rPr>
          <w:rFonts w:cs="Times New Roman"/>
        </w:rPr>
      </w:pPr>
      <w:r w:rsidRPr="0053604C">
        <w:rPr>
          <w:rFonts w:cs="Times New Roman"/>
        </w:rPr>
        <w:t>27. közterület használati szerződés kötése</w:t>
      </w:r>
    </w:p>
    <w:p w:rsidR="00727EA3" w:rsidRPr="0053604C" w:rsidRDefault="00727EA3" w:rsidP="00727EA3">
      <w:pPr>
        <w:spacing w:line="300" w:lineRule="exact"/>
        <w:jc w:val="both"/>
        <w:rPr>
          <w:rFonts w:cs="Times New Roman"/>
        </w:rPr>
      </w:pPr>
      <w:r w:rsidRPr="0053604C">
        <w:rPr>
          <w:rFonts w:cs="Times New Roman"/>
        </w:rPr>
        <w:t>28. ingatlanok kezelése és bérbeadói jogok gyakorlása</w:t>
      </w:r>
    </w:p>
    <w:p w:rsidR="00727EA3" w:rsidRPr="0053604C" w:rsidRDefault="00727EA3" w:rsidP="00727EA3">
      <w:pPr>
        <w:spacing w:line="300" w:lineRule="exact"/>
        <w:jc w:val="both"/>
        <w:rPr>
          <w:rFonts w:cs="Times New Roman"/>
        </w:rPr>
      </w:pPr>
    </w:p>
    <w:p w:rsidR="00727EA3" w:rsidRDefault="00727EA3" w:rsidP="00727EA3">
      <w:pPr>
        <w:keepNext/>
        <w:widowControl/>
        <w:tabs>
          <w:tab w:val="left" w:pos="426"/>
        </w:tabs>
        <w:jc w:val="center"/>
        <w:outlineLvl w:val="0"/>
        <w:rPr>
          <w:b/>
          <w:kern w:val="2"/>
        </w:rPr>
      </w:pPr>
    </w:p>
    <w:p w:rsidR="00727EA3" w:rsidRDefault="00727EA3" w:rsidP="00727EA3">
      <w:pPr>
        <w:keepNext/>
        <w:widowControl/>
        <w:tabs>
          <w:tab w:val="left" w:pos="426"/>
        </w:tabs>
        <w:jc w:val="center"/>
        <w:outlineLvl w:val="0"/>
        <w:rPr>
          <w:b/>
          <w:kern w:val="2"/>
        </w:rPr>
      </w:pPr>
    </w:p>
    <w:p w:rsidR="00727EA3" w:rsidRPr="007A0EE1" w:rsidRDefault="00727EA3" w:rsidP="00727EA3">
      <w:pPr>
        <w:keepNext/>
        <w:widowControl/>
        <w:tabs>
          <w:tab w:val="left" w:pos="426"/>
        </w:tabs>
        <w:jc w:val="center"/>
        <w:outlineLvl w:val="0"/>
        <w:rPr>
          <w:b/>
          <w:kern w:val="2"/>
        </w:rPr>
      </w:pPr>
      <w:r w:rsidRPr="007A0EE1">
        <w:rPr>
          <w:b/>
          <w:kern w:val="2"/>
        </w:rPr>
        <w:t>Pénzügyi Bizottság</w:t>
      </w:r>
    </w:p>
    <w:p w:rsidR="00727EA3" w:rsidRPr="007A0EE1" w:rsidRDefault="00727EA3" w:rsidP="00727EA3"/>
    <w:p w:rsidR="00727EA3" w:rsidRPr="007A0EE1" w:rsidRDefault="00727EA3" w:rsidP="00727EA3">
      <w:r w:rsidRPr="007A0EE1">
        <w:t xml:space="preserve">1. forgalomképtelen vagyon tulajdonjogot </w:t>
      </w:r>
      <w:proofErr w:type="gramStart"/>
      <w:r w:rsidRPr="007A0EE1">
        <w:t>nem  érintő</w:t>
      </w:r>
      <w:proofErr w:type="gramEnd"/>
      <w:r w:rsidRPr="007A0EE1">
        <w:t xml:space="preserve"> hasznosítása</w:t>
      </w:r>
    </w:p>
    <w:p w:rsidR="00727EA3" w:rsidRPr="007A0EE1" w:rsidRDefault="00727EA3" w:rsidP="00727EA3">
      <w:pPr>
        <w:widowControl/>
        <w:suppressAutoHyphens w:val="0"/>
        <w:spacing w:after="160" w:line="259" w:lineRule="auto"/>
        <w:rPr>
          <w:rFonts w:cs="Times New Roman"/>
          <w:b/>
          <w:color w:val="FF0000"/>
        </w:rPr>
      </w:pPr>
      <w:r w:rsidRPr="007A0EE1">
        <w:t>2. Önkormányzat tulajdonában lévő közterületeken közművek, valamint nyomvonal jellegű építmények és ezekkel összefüggő egyéb építmények létesítéséhez, bővítéséhez és áthelyezéséhez tulajdonosi hozzájárulás véleményezése</w:t>
      </w:r>
    </w:p>
    <w:p w:rsidR="00727EA3" w:rsidRPr="007A0EE1" w:rsidRDefault="00727EA3" w:rsidP="00727EA3">
      <w:pPr>
        <w:widowControl/>
        <w:tabs>
          <w:tab w:val="left" w:pos="2223"/>
          <w:tab w:val="left" w:pos="4632"/>
        </w:tabs>
        <w:suppressAutoHyphens w:val="0"/>
        <w:overflowPunct w:val="0"/>
        <w:autoSpaceDE w:val="0"/>
        <w:spacing w:before="80"/>
        <w:jc w:val="both"/>
        <w:textAlignment w:val="baseline"/>
        <w:rPr>
          <w:rFonts w:eastAsia="SimSun"/>
          <w:kern w:val="2"/>
        </w:rPr>
      </w:pPr>
      <w:r w:rsidRPr="007A0EE1">
        <w:rPr>
          <w:rFonts w:eastAsia="SimSun"/>
          <w:kern w:val="2"/>
        </w:rPr>
        <w:t>3. a használatában lévő ingatlan, ingatlanrész határozatlan jellegű, vagy az egy évet meghaladó használatba (bérbe) adásáról,</w:t>
      </w:r>
    </w:p>
    <w:p w:rsidR="00727EA3" w:rsidRPr="007A0EE1" w:rsidRDefault="00727EA3" w:rsidP="00727EA3">
      <w:pPr>
        <w:widowControl/>
        <w:tabs>
          <w:tab w:val="left" w:pos="2223"/>
          <w:tab w:val="left" w:pos="4632"/>
        </w:tabs>
        <w:suppressAutoHyphens w:val="0"/>
        <w:overflowPunct w:val="0"/>
        <w:autoSpaceDE w:val="0"/>
        <w:spacing w:before="80"/>
        <w:jc w:val="both"/>
        <w:textAlignment w:val="baseline"/>
        <w:rPr>
          <w:rFonts w:eastAsia="SimSun"/>
          <w:kern w:val="2"/>
        </w:rPr>
      </w:pPr>
      <w:r w:rsidRPr="007A0EE1">
        <w:rPr>
          <w:rFonts w:eastAsia="SimSun"/>
          <w:kern w:val="2"/>
        </w:rPr>
        <w:t>4. vagyoni értékű jog megszerzéséről, elidegenítéséről, megterheléséről és egyéb módon történő hasznosításról kétmillió forint értékhatárig,</w:t>
      </w:r>
    </w:p>
    <w:p w:rsidR="00727EA3" w:rsidRPr="007A0EE1" w:rsidRDefault="00727EA3" w:rsidP="00727EA3">
      <w:pPr>
        <w:widowControl/>
        <w:suppressAutoHyphens w:val="0"/>
        <w:spacing w:after="160" w:line="259" w:lineRule="auto"/>
      </w:pPr>
      <w:r w:rsidRPr="007A0EE1">
        <w:t>5. Az önkormányzati vagyon elidegenítésének, hasznosításának véleményezése</w:t>
      </w:r>
    </w:p>
    <w:p w:rsidR="00727EA3" w:rsidRPr="007A0EE1" w:rsidRDefault="00727EA3" w:rsidP="00727EA3">
      <w:pPr>
        <w:jc w:val="both"/>
        <w:rPr>
          <w:u w:val="single"/>
        </w:rPr>
      </w:pPr>
      <w:r w:rsidRPr="007A0EE1">
        <w:t>6. Önkormányzati tagsági jogok gyakorlása</w:t>
      </w:r>
    </w:p>
    <w:p w:rsidR="00727EA3" w:rsidRPr="007A0EE1" w:rsidRDefault="00727EA3" w:rsidP="00727EA3">
      <w:pPr>
        <w:jc w:val="both"/>
      </w:pPr>
      <w:r w:rsidRPr="007A0EE1">
        <w:t>7. Az üzleti vagyon feletti tulajdonosi jogok gyakorlása</w:t>
      </w:r>
    </w:p>
    <w:p w:rsidR="00727EA3" w:rsidRDefault="00727EA3" w:rsidP="00727EA3">
      <w:pPr>
        <w:widowControl/>
        <w:tabs>
          <w:tab w:val="left" w:pos="0"/>
        </w:tabs>
        <w:jc w:val="both"/>
        <w:rPr>
          <w:rFonts w:cs="Times New Roman"/>
          <w:kern w:val="2"/>
        </w:rPr>
      </w:pPr>
      <w:r w:rsidRPr="007A0EE1">
        <w:rPr>
          <w:rFonts w:cs="Times New Roman"/>
          <w:kern w:val="2"/>
        </w:rPr>
        <w:t xml:space="preserve">8. Az üzleti önkormányzati ingatlan és ingó vagyon tekintetében a 100.001- 1 000.000 forint egyedi forgalmi értékig az üzleti ingatlan, ingó és értékpapír vagyon felett a Arnót Község </w:t>
      </w:r>
      <w:proofErr w:type="gramStart"/>
      <w:r w:rsidRPr="007A0EE1">
        <w:rPr>
          <w:rFonts w:cs="Times New Roman"/>
          <w:kern w:val="2"/>
        </w:rPr>
        <w:t>Önkormányzatának  Szervezeti</w:t>
      </w:r>
      <w:proofErr w:type="gramEnd"/>
      <w:r w:rsidRPr="007A0EE1">
        <w:rPr>
          <w:rFonts w:cs="Times New Roman"/>
          <w:kern w:val="2"/>
        </w:rPr>
        <w:t xml:space="preserve"> és Működési Szabályzata alapján hatáskörrel rendelkező bizottság gyakorolja a tulajdonosi jogokat.</w:t>
      </w:r>
    </w:p>
    <w:p w:rsidR="00727EA3" w:rsidRDefault="00727EA3" w:rsidP="00727EA3">
      <w:pPr>
        <w:widowControl/>
        <w:tabs>
          <w:tab w:val="left" w:pos="0"/>
        </w:tabs>
        <w:jc w:val="both"/>
        <w:rPr>
          <w:rFonts w:cs="Times New Roman"/>
          <w:kern w:val="2"/>
        </w:rPr>
      </w:pPr>
    </w:p>
    <w:p w:rsidR="00727EA3" w:rsidRDefault="00727EA3" w:rsidP="00727EA3">
      <w:pPr>
        <w:widowControl/>
        <w:tabs>
          <w:tab w:val="left" w:pos="0"/>
        </w:tabs>
        <w:jc w:val="both"/>
        <w:rPr>
          <w:rFonts w:cs="Times New Roman"/>
          <w:kern w:val="2"/>
        </w:rPr>
      </w:pPr>
    </w:p>
    <w:p w:rsidR="00727EA3" w:rsidRDefault="00727EA3" w:rsidP="00727EA3">
      <w:pPr>
        <w:widowControl/>
        <w:tabs>
          <w:tab w:val="left" w:pos="0"/>
        </w:tabs>
        <w:jc w:val="both"/>
        <w:rPr>
          <w:rFonts w:cs="Times New Roman"/>
          <w:kern w:val="2"/>
        </w:rPr>
      </w:pPr>
    </w:p>
    <w:p w:rsidR="00727EA3" w:rsidRPr="00370E5D" w:rsidRDefault="00727EA3" w:rsidP="00727EA3">
      <w:pPr>
        <w:widowControl/>
        <w:tabs>
          <w:tab w:val="left" w:pos="0"/>
        </w:tabs>
        <w:jc w:val="center"/>
        <w:rPr>
          <w:rFonts w:cs="Times New Roman"/>
          <w:b/>
          <w:kern w:val="2"/>
        </w:rPr>
      </w:pPr>
      <w:r w:rsidRPr="00370E5D">
        <w:rPr>
          <w:rFonts w:cs="Times New Roman"/>
          <w:b/>
          <w:kern w:val="2"/>
        </w:rPr>
        <w:t>Szociális Bizottság</w:t>
      </w:r>
    </w:p>
    <w:p w:rsidR="00727EA3" w:rsidRPr="00370E5D" w:rsidRDefault="00727EA3" w:rsidP="00727EA3">
      <w:pPr>
        <w:widowControl/>
        <w:tabs>
          <w:tab w:val="left" w:pos="0"/>
        </w:tabs>
        <w:jc w:val="both"/>
        <w:rPr>
          <w:rFonts w:cs="Times New Roman"/>
          <w:b/>
          <w:kern w:val="2"/>
        </w:rPr>
      </w:pPr>
    </w:p>
    <w:p w:rsidR="00727EA3" w:rsidRPr="00370E5D" w:rsidRDefault="00727EA3" w:rsidP="00727EA3">
      <w:pPr>
        <w:widowControl/>
        <w:tabs>
          <w:tab w:val="left" w:pos="0"/>
        </w:tabs>
        <w:jc w:val="both"/>
        <w:rPr>
          <w:rFonts w:cs="Times New Roman"/>
          <w:kern w:val="2"/>
        </w:rPr>
      </w:pPr>
      <w:r w:rsidRPr="00370E5D">
        <w:rPr>
          <w:rFonts w:cs="Times New Roman"/>
          <w:kern w:val="2"/>
        </w:rPr>
        <w:t> </w:t>
      </w:r>
    </w:p>
    <w:p w:rsidR="00727EA3" w:rsidRPr="00C13D97" w:rsidRDefault="00727EA3" w:rsidP="00727EA3">
      <w:pPr>
        <w:widowControl/>
        <w:numPr>
          <w:ilvl w:val="0"/>
          <w:numId w:val="2"/>
        </w:numPr>
        <w:tabs>
          <w:tab w:val="left" w:pos="0"/>
        </w:tabs>
        <w:jc w:val="both"/>
        <w:rPr>
          <w:rFonts w:cs="Times New Roman"/>
          <w:kern w:val="2"/>
        </w:rPr>
      </w:pPr>
      <w:r w:rsidRPr="00C13D97">
        <w:rPr>
          <w:rFonts w:cs="Times New Roman"/>
          <w:kern w:val="2"/>
        </w:rPr>
        <w:t>Települési óvodai-, iskolai tanévkezdési támogatás</w:t>
      </w:r>
    </w:p>
    <w:p w:rsidR="00727EA3" w:rsidRPr="00C13D97" w:rsidRDefault="00727EA3" w:rsidP="00727EA3">
      <w:pPr>
        <w:widowControl/>
        <w:numPr>
          <w:ilvl w:val="0"/>
          <w:numId w:val="2"/>
        </w:numPr>
        <w:tabs>
          <w:tab w:val="left" w:pos="0"/>
        </w:tabs>
        <w:jc w:val="both"/>
        <w:rPr>
          <w:rFonts w:cs="Times New Roman"/>
          <w:kern w:val="2"/>
        </w:rPr>
      </w:pPr>
      <w:r w:rsidRPr="00C13D97">
        <w:rPr>
          <w:rFonts w:cs="Times New Roman"/>
          <w:kern w:val="2"/>
        </w:rPr>
        <w:t>Szociális célú tüzelőanyag támogatás</w:t>
      </w:r>
    </w:p>
    <w:p w:rsidR="00727EA3" w:rsidRPr="00C13D97" w:rsidRDefault="00727EA3" w:rsidP="00727EA3">
      <w:pPr>
        <w:widowControl/>
        <w:numPr>
          <w:ilvl w:val="0"/>
          <w:numId w:val="2"/>
        </w:numPr>
        <w:tabs>
          <w:tab w:val="left" w:pos="0"/>
        </w:tabs>
        <w:jc w:val="both"/>
        <w:rPr>
          <w:rFonts w:cs="Times New Roman"/>
          <w:kern w:val="2"/>
        </w:rPr>
      </w:pPr>
      <w:proofErr w:type="spellStart"/>
      <w:r w:rsidRPr="00C13D97">
        <w:rPr>
          <w:rFonts w:cs="Times New Roman"/>
          <w:kern w:val="2"/>
        </w:rPr>
        <w:t>Bursa</w:t>
      </w:r>
      <w:proofErr w:type="spellEnd"/>
      <w:r w:rsidRPr="00C13D97">
        <w:rPr>
          <w:rFonts w:cs="Times New Roman"/>
          <w:kern w:val="2"/>
        </w:rPr>
        <w:t>-Hungarica pályázat elbírálása</w:t>
      </w:r>
    </w:p>
    <w:p w:rsidR="00727EA3" w:rsidRPr="00C13D97" w:rsidRDefault="00727EA3" w:rsidP="00727EA3">
      <w:pPr>
        <w:ind w:left="5676" w:firstLine="696"/>
        <w:jc w:val="both"/>
      </w:pPr>
      <w:r w:rsidRPr="00C13D97">
        <w:br w:type="page"/>
      </w:r>
    </w:p>
    <w:p w:rsidR="00727EA3" w:rsidRPr="0031269A" w:rsidRDefault="00727EA3" w:rsidP="00727EA3">
      <w:pPr>
        <w:jc w:val="both"/>
      </w:pPr>
    </w:p>
    <w:p w:rsidR="00727EA3" w:rsidRPr="006B5F3E" w:rsidRDefault="00727EA3" w:rsidP="00727EA3">
      <w:pPr>
        <w:widowControl/>
        <w:jc w:val="center"/>
        <w:rPr>
          <w:b/>
        </w:rPr>
      </w:pPr>
      <w:r w:rsidRPr="006B5F3E">
        <w:rPr>
          <w:b/>
        </w:rPr>
        <w:t>Társulások</w:t>
      </w:r>
    </w:p>
    <w:p w:rsidR="00727EA3" w:rsidRDefault="00727EA3" w:rsidP="00727EA3">
      <w:pPr>
        <w:jc w:val="both"/>
        <w:rPr>
          <w:rFonts w:cs="Times New Roman"/>
          <w:b/>
          <w:bCs/>
        </w:rPr>
      </w:pPr>
    </w:p>
    <w:p w:rsidR="00727EA3" w:rsidRDefault="00727EA3" w:rsidP="00727EA3">
      <w:pPr>
        <w:jc w:val="both"/>
        <w:rPr>
          <w:b/>
          <w:bCs/>
        </w:rPr>
      </w:pPr>
      <w:r>
        <w:rPr>
          <w:rFonts w:cs="Times New Roman"/>
          <w:b/>
          <w:bCs/>
        </w:rPr>
        <w:t>A Sajó-Bódva Völgye és Környéke Hulladékkezelési Önkormányzati Társulásra átruházott önkormányzati feladat – és hatáskörök, tevékenységi köre:</w:t>
      </w:r>
    </w:p>
    <w:p w:rsidR="00727EA3" w:rsidRDefault="00727EA3" w:rsidP="00727EA3">
      <w:pPr>
        <w:jc w:val="both"/>
        <w:rPr>
          <w:b/>
          <w:bCs/>
        </w:rPr>
      </w:pPr>
    </w:p>
    <w:p w:rsidR="00727EA3" w:rsidRDefault="00727EA3" w:rsidP="00727EA3">
      <w:pPr>
        <w:jc w:val="both"/>
      </w:pPr>
      <w:r>
        <w:t xml:space="preserve">Magyarország helyi önkormányzatairól szóló 2011. évi CLXXXIX. törvény 13.§-a alapján helyi önkormányzati feladat a környezet-egészségügy (köztisztaság, települési környezet tisztaságának biztosítása, rovar- és rágcsálóirtás); </w:t>
      </w:r>
      <w:proofErr w:type="gramStart"/>
      <w:r>
        <w:t>biztosítása</w:t>
      </w:r>
      <w:proofErr w:type="gramEnd"/>
      <w:r>
        <w:t xml:space="preserve"> illetve a lakás- és helyiséggazdálkodás, és hulladékgazdálkodás megoldása. </w:t>
      </w:r>
    </w:p>
    <w:p w:rsidR="00727EA3" w:rsidRDefault="00727EA3" w:rsidP="00727EA3">
      <w:pPr>
        <w:jc w:val="both"/>
      </w:pPr>
    </w:p>
    <w:p w:rsidR="00727EA3" w:rsidRDefault="00727EA3" w:rsidP="00727EA3">
      <w:pPr>
        <w:widowControl/>
        <w:rPr>
          <w:color w:val="FF0000"/>
        </w:rPr>
      </w:pPr>
    </w:p>
    <w:p w:rsidR="00727EA3" w:rsidRPr="004C5DC8" w:rsidRDefault="00727EA3" w:rsidP="00727EA3">
      <w:pPr>
        <w:widowControl/>
        <w:rPr>
          <w:b/>
        </w:rPr>
      </w:pPr>
      <w:r w:rsidRPr="004C5DC8">
        <w:rPr>
          <w:b/>
        </w:rPr>
        <w:t>Onga és Társult Települések Szociális és Gyermekjóléti Társulása</w:t>
      </w:r>
    </w:p>
    <w:p w:rsidR="00727EA3" w:rsidRPr="002A5EFA" w:rsidRDefault="00727EA3" w:rsidP="00727EA3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hu-HU" w:bidi="ar-SA"/>
        </w:rPr>
      </w:pPr>
      <w:r w:rsidRPr="002A5EFA">
        <w:rPr>
          <w:rFonts w:eastAsia="Times New Roman" w:cs="Times New Roman"/>
          <w:kern w:val="0"/>
          <w:lang w:eastAsia="hu-HU" w:bidi="ar-SA"/>
        </w:rPr>
        <w:t xml:space="preserve">Integrált szociális és gyermekvédelmi </w:t>
      </w:r>
      <w:r w:rsidRPr="002A5EFA">
        <w:rPr>
          <w:rFonts w:eastAsia="Times New Roman" w:cs="Times New Roman"/>
          <w:b/>
          <w:bCs/>
          <w:kern w:val="0"/>
          <w:lang w:eastAsia="hu-HU" w:bidi="ar-SA"/>
        </w:rPr>
        <w:t>alapszolgáltatási feladatokat</w:t>
      </w:r>
      <w:r w:rsidRPr="002A5EFA">
        <w:rPr>
          <w:rFonts w:eastAsia="Times New Roman" w:cs="Times New Roman"/>
          <w:kern w:val="0"/>
          <w:lang w:eastAsia="hu-HU" w:bidi="ar-SA"/>
        </w:rPr>
        <w:t xml:space="preserve"> ellátó intézmény, önálló szakmai és szervezeti </w:t>
      </w:r>
      <w:proofErr w:type="spellStart"/>
      <w:r w:rsidRPr="002A5EFA">
        <w:rPr>
          <w:rFonts w:eastAsia="Times New Roman" w:cs="Times New Roman"/>
          <w:kern w:val="0"/>
          <w:lang w:eastAsia="hu-HU" w:bidi="ar-SA"/>
        </w:rPr>
        <w:t>egységenként</w:t>
      </w:r>
      <w:proofErr w:type="spellEnd"/>
      <w:r w:rsidRPr="002A5EFA">
        <w:rPr>
          <w:rFonts w:eastAsia="Times New Roman" w:cs="Times New Roman"/>
          <w:kern w:val="0"/>
          <w:lang w:eastAsia="hu-HU" w:bidi="ar-SA"/>
        </w:rPr>
        <w:t xml:space="preserve"> kialakított formában látja el a személyes gondoskodás feladatait.</w:t>
      </w:r>
    </w:p>
    <w:p w:rsidR="00727EA3" w:rsidRDefault="00727EA3" w:rsidP="00727EA3">
      <w:pPr>
        <w:widowControl/>
        <w:suppressAutoHyphens w:val="0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A Társulás a</w:t>
      </w:r>
      <w:r w:rsidRPr="002A5EFA">
        <w:rPr>
          <w:rFonts w:eastAsia="Times New Roman" w:cs="Times New Roman"/>
          <w:kern w:val="0"/>
          <w:lang w:eastAsia="hu-HU" w:bidi="ar-SA"/>
        </w:rPr>
        <w:t>laptevékenységi köre</w:t>
      </w:r>
      <w:r>
        <w:rPr>
          <w:rFonts w:eastAsia="Times New Roman" w:cs="Times New Roman"/>
          <w:kern w:val="0"/>
          <w:lang w:eastAsia="hu-HU" w:bidi="ar-SA"/>
        </w:rPr>
        <w:t xml:space="preserve"> Arnót területén:</w:t>
      </w:r>
    </w:p>
    <w:p w:rsidR="00727EA3" w:rsidRPr="002A5EFA" w:rsidRDefault="00727EA3" w:rsidP="00727EA3">
      <w:pPr>
        <w:widowControl/>
        <w:numPr>
          <w:ilvl w:val="0"/>
          <w:numId w:val="1"/>
        </w:numPr>
        <w:suppressAutoHyphens w:val="0"/>
        <w:rPr>
          <w:rFonts w:eastAsia="Times New Roman" w:cs="Times New Roman"/>
          <w:kern w:val="0"/>
          <w:lang w:eastAsia="hu-HU" w:bidi="ar-SA"/>
        </w:rPr>
      </w:pPr>
      <w:r w:rsidRPr="002A5EFA">
        <w:rPr>
          <w:rFonts w:eastAsia="Times New Roman" w:cs="Times New Roman"/>
          <w:kern w:val="0"/>
          <w:lang w:eastAsia="hu-HU" w:bidi="ar-SA"/>
        </w:rPr>
        <w:t>gyermekjóléti szolgáltatás</w:t>
      </w:r>
    </w:p>
    <w:p w:rsidR="00727EA3" w:rsidRDefault="00727EA3" w:rsidP="00727EA3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hu-HU" w:bidi="ar-SA"/>
        </w:rPr>
      </w:pPr>
      <w:r w:rsidRPr="002A5EFA">
        <w:rPr>
          <w:rFonts w:eastAsia="Times New Roman" w:cs="Times New Roman"/>
          <w:kern w:val="0"/>
          <w:lang w:eastAsia="hu-HU" w:bidi="ar-SA"/>
        </w:rPr>
        <w:t>családsegítés</w:t>
      </w:r>
    </w:p>
    <w:p w:rsidR="00727EA3" w:rsidRPr="002A5EFA" w:rsidRDefault="00727EA3" w:rsidP="00727EA3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hu-HU" w:bidi="ar-SA"/>
        </w:rPr>
      </w:pPr>
      <w:r w:rsidRPr="002A5EFA">
        <w:rPr>
          <w:rFonts w:eastAsia="Times New Roman" w:cs="Times New Roman"/>
          <w:kern w:val="0"/>
          <w:lang w:eastAsia="hu-HU" w:bidi="ar-SA"/>
        </w:rPr>
        <w:t xml:space="preserve">támogató szolgálat </w:t>
      </w:r>
    </w:p>
    <w:p w:rsidR="00727EA3" w:rsidRPr="002A5EFA" w:rsidRDefault="00727EA3" w:rsidP="00727EA3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hu-HU" w:bidi="ar-SA"/>
        </w:rPr>
      </w:pPr>
      <w:r w:rsidRPr="002A5EFA">
        <w:rPr>
          <w:rFonts w:eastAsia="Times New Roman" w:cs="Times New Roman"/>
          <w:b/>
          <w:bCs/>
          <w:kern w:val="0"/>
          <w:lang w:eastAsia="hu-HU" w:bidi="ar-SA"/>
        </w:rPr>
        <w:t> </w:t>
      </w:r>
    </w:p>
    <w:p w:rsidR="00CF29BA" w:rsidRDefault="00CF29BA">
      <w:bookmarkStart w:id="0" w:name="_GoBack"/>
      <w:bookmarkEnd w:id="0"/>
    </w:p>
    <w:sectPr w:rsidR="00CF2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40D24"/>
    <w:multiLevelType w:val="multilevel"/>
    <w:tmpl w:val="9A04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683494"/>
    <w:multiLevelType w:val="multilevel"/>
    <w:tmpl w:val="8E6C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A3"/>
    <w:rsid w:val="00727EA3"/>
    <w:rsid w:val="00C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EBC25-917A-46F4-B77F-5D5ECFE8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7EA3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CD74EE62</Template>
  <TotalTime>1</TotalTime>
  <Pages>3</Pages>
  <Words>620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2018-03-22T08:11:00Z</dcterms:created>
  <dcterms:modified xsi:type="dcterms:W3CDTF">2018-03-22T08:12:00Z</dcterms:modified>
</cp:coreProperties>
</file>