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BACC" w14:textId="77777777" w:rsidR="00E416E6" w:rsidRDefault="00E416E6" w:rsidP="00E41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Rendelet indoklása</w:t>
      </w:r>
    </w:p>
    <w:p w14:paraId="49C9255C" w14:textId="77777777" w:rsidR="00E416E6" w:rsidRDefault="00E416E6" w:rsidP="00E41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AB2100" w14:textId="77777777" w:rsidR="00E416E6" w:rsidRDefault="00E416E6" w:rsidP="00E41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1DCA06" w14:textId="77777777" w:rsidR="00E416E6" w:rsidRDefault="00E416E6" w:rsidP="00E416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Általános indoklás: </w:t>
      </w:r>
    </w:p>
    <w:p w14:paraId="35DC3DE5" w14:textId="77777777" w:rsidR="00E416E6" w:rsidRDefault="00E416E6" w:rsidP="00E416E6">
      <w:pPr>
        <w:spacing w:after="0" w:line="240" w:lineRule="auto"/>
        <w:jc w:val="both"/>
        <w:rPr>
          <w:rStyle w:val="para"/>
        </w:rPr>
      </w:pPr>
      <w:r>
        <w:rPr>
          <w:rStyle w:val="FontStyle20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>
        <w:rPr>
          <w:rStyle w:val="FontStyle20"/>
          <w:sz w:val="24"/>
          <w:szCs w:val="24"/>
        </w:rPr>
        <w:t>Mötv</w:t>
      </w:r>
      <w:proofErr w:type="spellEnd"/>
      <w:r>
        <w:rPr>
          <w:rStyle w:val="FontStyle20"/>
          <w:sz w:val="24"/>
          <w:szCs w:val="24"/>
        </w:rPr>
        <w:t xml:space="preserve">.) </w:t>
      </w:r>
      <w:r>
        <w:rPr>
          <w:rStyle w:val="para"/>
          <w:rFonts w:ascii="Times New Roman" w:hAnsi="Times New Roman"/>
          <w:sz w:val="24"/>
          <w:szCs w:val="24"/>
        </w:rPr>
        <w:t xml:space="preserve">43. § (3) bekezdése alapján a képviselő-testület az alakuló vagy az azt követő ülésen </w:t>
      </w:r>
      <w:proofErr w:type="gramStart"/>
      <w:r>
        <w:rPr>
          <w:rStyle w:val="para"/>
          <w:rFonts w:ascii="Times New Roman" w:hAnsi="Times New Roman"/>
          <w:sz w:val="24"/>
          <w:szCs w:val="24"/>
        </w:rPr>
        <w:t>megalkotja</w:t>
      </w:r>
      <w:proofErr w:type="gramEnd"/>
      <w:r>
        <w:rPr>
          <w:rStyle w:val="para"/>
          <w:rFonts w:ascii="Times New Roman" w:hAnsi="Times New Roman"/>
          <w:sz w:val="24"/>
          <w:szCs w:val="24"/>
        </w:rPr>
        <w:t xml:space="preserve"> vagy felülvizsgálja a szervezeti és működési szabályzatáról szóló rendeletét. Balatongyörök Község Önkormányzatának képviselő-testülete a 2019. október 22-i ünnepi alakuló ülésén határozatában kérte fel a jegyzőt és aljegyzőt, hogy a szervezeti és működési szabályzatot felülvizsgálatát elkészítse és azt a képviselő-testület elé terjessze. </w:t>
      </w:r>
    </w:p>
    <w:p w14:paraId="5D3F3B74" w14:textId="77777777" w:rsidR="00E416E6" w:rsidRDefault="00E416E6" w:rsidP="00E416E6">
      <w:pPr>
        <w:spacing w:after="0" w:line="240" w:lineRule="auto"/>
        <w:jc w:val="both"/>
        <w:rPr>
          <w:rStyle w:val="para"/>
          <w:rFonts w:ascii="Times New Roman" w:hAnsi="Times New Roman"/>
          <w:sz w:val="24"/>
          <w:szCs w:val="24"/>
        </w:rPr>
      </w:pPr>
    </w:p>
    <w:p w14:paraId="5DD8B2FF" w14:textId="77777777" w:rsidR="00E416E6" w:rsidRDefault="00E416E6" w:rsidP="00E416E6">
      <w:pPr>
        <w:spacing w:after="0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Részletes indoklás: </w:t>
      </w:r>
    </w:p>
    <w:p w14:paraId="5D57C304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1-8. §-</w:t>
      </w:r>
      <w:proofErr w:type="spellStart"/>
      <w:r>
        <w:rPr>
          <w:rFonts w:ascii="Times New Roman" w:hAnsi="Times New Roman"/>
          <w:b/>
          <w:sz w:val="24"/>
          <w:szCs w:val="24"/>
        </w:rPr>
        <w:t>ig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általános rendelkezések, ezen belül nevesíti az önkormányzat, a képviselő-testület, a bizottság, a közös hivatal megnevezését, székhelyét, az önkormányzat működési területét, a község ünnepeit, az önkormányzat hivatalos lapját, weboldalát, hirdetőtáblá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ját. </w:t>
      </w:r>
    </w:p>
    <w:p w14:paraId="0AE15D41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9-</w:t>
      </w:r>
      <w:r>
        <w:rPr>
          <w:rFonts w:ascii="Times New Roman" w:hAnsi="Times New Roman"/>
          <w:sz w:val="24"/>
          <w:szCs w:val="24"/>
        </w:rPr>
        <w:t xml:space="preserve">11. §: az önkormányzat feladat-és hatásköréről rendelkezik, valamint ezen hatáskörök átruházásáról. </w:t>
      </w:r>
    </w:p>
    <w:p w14:paraId="02C33034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14-40. §</w:t>
      </w:r>
      <w:r>
        <w:rPr>
          <w:rFonts w:ascii="Times New Roman" w:hAnsi="Times New Roman"/>
          <w:sz w:val="24"/>
          <w:szCs w:val="24"/>
        </w:rPr>
        <w:t xml:space="preserve">: a fejezet a képviselő-testület működését szabályozza. Rögzítésre kerül a testület létszáma, a döntésekhez szükséges szavazatszám, valamint az ülések fajtái, ezek részletes szabályai. Itt kerülne nevesítésre az ülések menetének részletszabályai, </w:t>
      </w: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mint pl. az ülésvezetés, az ülésre meghívandók köre, a benyújtandó előterjesztések alaki és formai követelményeit, valamint a döntéshozatal rendjét. </w:t>
      </w:r>
    </w:p>
    <w:p w14:paraId="151CE71A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41-58. §-</w:t>
      </w:r>
      <w:proofErr w:type="spellStart"/>
      <w:r>
        <w:rPr>
          <w:rFonts w:ascii="Times New Roman" w:hAnsi="Times New Roman"/>
          <w:b/>
          <w:sz w:val="24"/>
          <w:szCs w:val="24"/>
        </w:rPr>
        <w:t>ig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 fejezet a képviselő-testület szerveit nevesíti. Itt kerül rögzítésre, a települési képviselő, a polgármester, az alpolgármester, a jegyző, a közös hivatal, valamint a képviselő-testület bizottsága, ezen szervek magasabb rendű jogszabályban nem nevesített működési, jogállási szabályozása. </w:t>
      </w:r>
    </w:p>
    <w:p w14:paraId="10DA8A5F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58.</w:t>
      </w:r>
      <w:r>
        <w:rPr>
          <w:rFonts w:ascii="Times New Roman" w:hAnsi="Times New Roman"/>
          <w:sz w:val="24"/>
          <w:szCs w:val="24"/>
        </w:rPr>
        <w:t xml:space="preserve"> §: az önkormányzati társulásokról rendelkezik </w:t>
      </w:r>
    </w:p>
    <w:p w14:paraId="2AFB124A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59.</w:t>
      </w:r>
      <w:r>
        <w:rPr>
          <w:rFonts w:ascii="Times New Roman" w:hAnsi="Times New Roman"/>
          <w:sz w:val="24"/>
          <w:szCs w:val="24"/>
        </w:rPr>
        <w:t xml:space="preserve"> §: a helyi népszavazást nevesíti, utal a külön önkormányzati rendeletre.</w:t>
      </w:r>
    </w:p>
    <w:p w14:paraId="7CF96810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60 §:</w:t>
      </w:r>
      <w:r>
        <w:rPr>
          <w:rFonts w:ascii="Times New Roman" w:hAnsi="Times New Roman"/>
          <w:sz w:val="24"/>
          <w:szCs w:val="24"/>
        </w:rPr>
        <w:t xml:space="preserve"> az önkormányzat vagyonáról rendelkezik, szintén utal a külön önkormányzati rendeletre</w:t>
      </w:r>
    </w:p>
    <w:p w14:paraId="071A1D16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61-</w:t>
      </w:r>
      <w:r>
        <w:rPr>
          <w:rFonts w:ascii="Times New Roman" w:hAnsi="Times New Roman"/>
          <w:sz w:val="24"/>
          <w:szCs w:val="24"/>
        </w:rPr>
        <w:t xml:space="preserve">62. § az önkormányzat gazdálkodásának rögzítése, ahol nevesítésre kerül a belső ellenőrzés ellátása. </w:t>
      </w:r>
    </w:p>
    <w:p w14:paraId="0FDA7E6E" w14:textId="77777777" w:rsidR="00E416E6" w:rsidRDefault="00E416E6" w:rsidP="00E416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fejezet, 63.</w:t>
      </w:r>
      <w:r>
        <w:rPr>
          <w:rFonts w:ascii="Times New Roman" w:hAnsi="Times New Roman"/>
          <w:sz w:val="24"/>
          <w:szCs w:val="24"/>
        </w:rPr>
        <w:t xml:space="preserve"> §: záró rendelkezés</w:t>
      </w:r>
    </w:p>
    <w:p w14:paraId="2F06D162" w14:textId="77777777" w:rsidR="00984AA4" w:rsidRDefault="00984AA4"/>
    <w:sectPr w:rsidR="0098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37A4B"/>
    <w:multiLevelType w:val="hybridMultilevel"/>
    <w:tmpl w:val="6C5A1832"/>
    <w:lvl w:ilvl="0" w:tplc="E3D63EE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FE"/>
    <w:rsid w:val="00984AA4"/>
    <w:rsid w:val="009B6DFE"/>
    <w:rsid w:val="00E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54677-6F6B-4B83-8654-126C99C3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16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16E6"/>
    <w:pPr>
      <w:ind w:left="720"/>
      <w:contextualSpacing/>
    </w:pPr>
  </w:style>
  <w:style w:type="character" w:customStyle="1" w:styleId="FontStyle20">
    <w:name w:val="Font Style20"/>
    <w:basedOn w:val="Bekezdsalapbettpusa"/>
    <w:rsid w:val="00E416E6"/>
    <w:rPr>
      <w:rFonts w:ascii="Times New Roman" w:hAnsi="Times New Roman" w:cs="Times New Roman" w:hint="default"/>
      <w:sz w:val="22"/>
      <w:szCs w:val="22"/>
    </w:rPr>
  </w:style>
  <w:style w:type="character" w:customStyle="1" w:styleId="para">
    <w:name w:val="para"/>
    <w:basedOn w:val="Bekezdsalapbettpusa"/>
    <w:rsid w:val="00E4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2019-12-31T07:23:00Z</dcterms:created>
  <dcterms:modified xsi:type="dcterms:W3CDTF">2019-12-31T07:23:00Z</dcterms:modified>
</cp:coreProperties>
</file>