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DA" w:rsidRPr="00E0057E" w:rsidRDefault="003E0EDA" w:rsidP="003E0EDA">
      <w:pPr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57E">
        <w:rPr>
          <w:rFonts w:ascii="Times New Roman" w:eastAsia="Times New Roman" w:hAnsi="Times New Roman" w:cs="Times New Roman"/>
          <w:b/>
          <w:bCs/>
          <w:sz w:val="24"/>
          <w:szCs w:val="24"/>
        </w:rPr>
        <w:t>INDOKOLÁS</w:t>
      </w:r>
    </w:p>
    <w:p w:rsidR="003E0EDA" w:rsidRPr="00E0057E" w:rsidRDefault="003E0EDA" w:rsidP="003E0EDA">
      <w:pPr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EDA" w:rsidRPr="00E0057E" w:rsidRDefault="003E0EDA" w:rsidP="003E0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az önkormányzati képviselőknek, a bizottsági elnököknek és tagoknak, továbbá a tanácsnoknak járó tiszteletdíjról szóló </w:t>
      </w:r>
      <w:r w:rsidRPr="00043365">
        <w:rPr>
          <w:rFonts w:ascii="Times New Roman" w:eastAsia="Times New Roman" w:hAnsi="Times New Roman" w:cs="Times New Roman"/>
          <w:b/>
          <w:bCs/>
          <w:sz w:val="24"/>
          <w:szCs w:val="24"/>
        </w:rPr>
        <w:t>önkormányzati rendelet</w:t>
      </w:r>
    </w:p>
    <w:p w:rsidR="003E0EDA" w:rsidRPr="00E0057E" w:rsidRDefault="003E0EDA" w:rsidP="003E0EDA">
      <w:pPr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57E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egalko</w:t>
      </w:r>
      <w:r w:rsidRPr="00E0057E">
        <w:rPr>
          <w:rFonts w:ascii="Times New Roman" w:eastAsia="Times New Roman" w:hAnsi="Times New Roman" w:cs="Times New Roman"/>
          <w:b/>
          <w:bCs/>
          <w:sz w:val="24"/>
          <w:szCs w:val="24"/>
        </w:rPr>
        <w:t>tásáról szóló rendelethez</w:t>
      </w:r>
    </w:p>
    <w:p w:rsidR="003E0EDA" w:rsidRPr="00E0057E" w:rsidRDefault="003E0EDA" w:rsidP="003E0EDA">
      <w:pPr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EDA" w:rsidRPr="00E0057E" w:rsidRDefault="003E0EDA" w:rsidP="003E0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EDA" w:rsidRPr="00E0057E" w:rsidRDefault="003E0EDA" w:rsidP="003E0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4136223"/>
      <w:r w:rsidRPr="00E0057E">
        <w:rPr>
          <w:rFonts w:ascii="Times New Roman" w:eastAsia="Times New Roman" w:hAnsi="Times New Roman" w:cs="Times New Roman"/>
          <w:b/>
          <w:sz w:val="24"/>
          <w:szCs w:val="24"/>
        </w:rPr>
        <w:t>Általános indokolás</w:t>
      </w:r>
    </w:p>
    <w:bookmarkEnd w:id="0"/>
    <w:p w:rsidR="003E0EDA" w:rsidRPr="00E0057E" w:rsidRDefault="003E0EDA" w:rsidP="003E0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EDA" w:rsidRDefault="003E0EDA" w:rsidP="003E0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4136757"/>
      <w:r w:rsidRPr="00043365">
        <w:rPr>
          <w:rFonts w:ascii="Times New Roman" w:eastAsia="Times New Roman" w:hAnsi="Times New Roman" w:cs="Times New Roman"/>
          <w:sz w:val="24"/>
          <w:szCs w:val="24"/>
        </w:rPr>
        <w:t xml:space="preserve">A Magyarország helyi önkormányzatairól szóló 2011. évi CLXXXIX. törvény </w:t>
      </w:r>
      <w:r>
        <w:rPr>
          <w:rFonts w:ascii="Times New Roman" w:eastAsia="Times New Roman" w:hAnsi="Times New Roman" w:cs="Times New Roman"/>
          <w:sz w:val="24"/>
          <w:szCs w:val="24"/>
        </w:rPr>
        <w:t>35.§ (1)-(2) bekezdése szerint a</w:t>
      </w:r>
      <w:r w:rsidRPr="00043365">
        <w:rPr>
          <w:rFonts w:ascii="Times New Roman" w:eastAsia="Times New Roman" w:hAnsi="Times New Roman" w:cs="Times New Roman"/>
          <w:sz w:val="24"/>
          <w:szCs w:val="24"/>
        </w:rPr>
        <w:t xml:space="preserve"> képviselő-testület az </w:t>
      </w:r>
      <w:r>
        <w:rPr>
          <w:rFonts w:ascii="Times New Roman" w:eastAsia="Times New Roman" w:hAnsi="Times New Roman" w:cs="Times New Roman"/>
          <w:sz w:val="24"/>
          <w:szCs w:val="24"/>
        </w:rPr>
        <w:t>önkormányzati képviselőnek, a bizottsági elnöknek, a bizottság tagjának, a tanácsnoknak rendeletében meghatározott tiszteletdíjat, természetbeni juttatást állapíthat meg</w:t>
      </w:r>
      <w:r w:rsidRPr="0004336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 az önkormányzati képviselő tanácsnok, önkormányzati bizottság elnöke vagy tagja, számára magasabb összegű tiszteletdíj is megállapítható. Az önkormányzati képviselő számára történő tiszteletdíj megállapítása nem veszélyeztetheti az önkormányzat kötelező feladatai ellátását.</w:t>
      </w:r>
    </w:p>
    <w:p w:rsidR="003E0EDA" w:rsidRDefault="003E0EDA" w:rsidP="003E0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EDA" w:rsidRPr="00043365" w:rsidRDefault="003E0EDA" w:rsidP="003E0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Szolnok Megyei Jogú Város Közgyűlése 26/2019. (XI.13.) önkormányzati rendeletével határozta meg az önkormányzati képviselők, a bizottsági elnökök és tagok, továbbá a tanácsnokok részére biztosított tiszteletdíjat, melynek hatályon kívül helyezését és a tárgyban új rendelet megalkotását tartalmazza jelen rendelet.</w:t>
      </w:r>
    </w:p>
    <w:p w:rsidR="003E0EDA" w:rsidRPr="00E0057E" w:rsidRDefault="003E0EDA" w:rsidP="003E0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EDA" w:rsidRPr="00E0057E" w:rsidRDefault="003E0EDA" w:rsidP="003E0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7E">
        <w:rPr>
          <w:rFonts w:ascii="Times New Roman" w:eastAsia="Times New Roman" w:hAnsi="Times New Roman" w:cs="Times New Roman"/>
          <w:sz w:val="24"/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bookmarkEnd w:id="1"/>
    <w:p w:rsidR="003E0EDA" w:rsidRPr="00E0057E" w:rsidRDefault="003E0EDA" w:rsidP="003E0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EDA" w:rsidRPr="00E0057E" w:rsidRDefault="003E0EDA" w:rsidP="003E0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7E">
        <w:rPr>
          <w:rFonts w:ascii="Times New Roman" w:eastAsia="Times New Roman" w:hAnsi="Times New Roman" w:cs="Times New Roman"/>
          <w:b/>
          <w:sz w:val="24"/>
          <w:szCs w:val="24"/>
        </w:rPr>
        <w:t>Részletes indokolás</w:t>
      </w:r>
    </w:p>
    <w:p w:rsidR="003E0EDA" w:rsidRPr="00E0057E" w:rsidRDefault="003E0EDA" w:rsidP="003E0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EDA" w:rsidRDefault="003E0EDA" w:rsidP="003E0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250C5F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250C5F">
        <w:rPr>
          <w:rFonts w:ascii="Times New Roman" w:hAnsi="Times New Roman" w:cs="Times New Roman"/>
          <w:b/>
          <w:sz w:val="24"/>
          <w:szCs w:val="24"/>
        </w:rPr>
        <w:t xml:space="preserve"> 1. §-hoz</w:t>
      </w:r>
    </w:p>
    <w:p w:rsidR="003E0EDA" w:rsidRDefault="003E0EDA" w:rsidP="003E0E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képviselő, a bizottság elnöke, a bizottság tagja, és a tanácsnok havi tiszteletdíjának megállapításáról rendelkezik.</w:t>
      </w:r>
    </w:p>
    <w:p w:rsidR="003E0EDA" w:rsidRDefault="003E0EDA" w:rsidP="003E0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C63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36C63">
        <w:rPr>
          <w:rFonts w:ascii="Times New Roman" w:hAnsi="Times New Roman" w:cs="Times New Roman"/>
          <w:b/>
          <w:sz w:val="24"/>
          <w:szCs w:val="24"/>
        </w:rPr>
        <w:t>.§-hoz</w:t>
      </w:r>
    </w:p>
    <w:p w:rsidR="003E0EDA" w:rsidRDefault="003E0EDA" w:rsidP="003E0E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természetbeni juttatásról rendelkezik.</w:t>
      </w:r>
    </w:p>
    <w:p w:rsidR="003E0EDA" w:rsidRPr="00D36C63" w:rsidRDefault="003E0EDA" w:rsidP="003E0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C63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3-4</w:t>
      </w:r>
      <w:r w:rsidRPr="00D36C63">
        <w:rPr>
          <w:rFonts w:ascii="Times New Roman" w:hAnsi="Times New Roman" w:cs="Times New Roman"/>
          <w:b/>
          <w:sz w:val="24"/>
          <w:szCs w:val="24"/>
        </w:rPr>
        <w:t>. §-hoz</w:t>
      </w:r>
    </w:p>
    <w:p w:rsidR="003E0EDA" w:rsidRDefault="003E0EDA" w:rsidP="003E0E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tiszteletdíjra való jogosultság időtartamáról és a kifizetésének szabályairól rendelkezik.</w:t>
      </w:r>
    </w:p>
    <w:p w:rsidR="003E0EDA" w:rsidRPr="00D36C63" w:rsidRDefault="003E0EDA" w:rsidP="003E0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C6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36C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6C63">
        <w:rPr>
          <w:rFonts w:ascii="Times New Roman" w:hAnsi="Times New Roman" w:cs="Times New Roman"/>
          <w:b/>
          <w:sz w:val="24"/>
          <w:szCs w:val="24"/>
        </w:rPr>
        <w:t>. §-hoz</w:t>
      </w:r>
    </w:p>
    <w:p w:rsidR="003E0EDA" w:rsidRPr="001633D0" w:rsidRDefault="003E0EDA" w:rsidP="003E0EDA">
      <w:pPr>
        <w:jc w:val="both"/>
        <w:rPr>
          <w:rFonts w:ascii="Times New Roman" w:hAnsi="Times New Roman" w:cs="Times New Roman"/>
          <w:sz w:val="24"/>
          <w:szCs w:val="24"/>
        </w:rPr>
      </w:pPr>
      <w:r w:rsidRPr="001633D0">
        <w:rPr>
          <w:rFonts w:ascii="Times New Roman" w:hAnsi="Times New Roman" w:cs="Times New Roman"/>
          <w:sz w:val="24"/>
          <w:szCs w:val="24"/>
        </w:rPr>
        <w:t>Hatályba léptető</w:t>
      </w:r>
      <w:r>
        <w:rPr>
          <w:rFonts w:ascii="Times New Roman" w:hAnsi="Times New Roman" w:cs="Times New Roman"/>
          <w:sz w:val="24"/>
          <w:szCs w:val="24"/>
        </w:rPr>
        <w:t xml:space="preserve"> és hatályon kívül helyező </w:t>
      </w:r>
      <w:r w:rsidRPr="001633D0">
        <w:rPr>
          <w:rFonts w:ascii="Times New Roman" w:hAnsi="Times New Roman" w:cs="Times New Roman"/>
          <w:sz w:val="24"/>
          <w:szCs w:val="24"/>
        </w:rPr>
        <w:t>rendelkezéseket tartalmaz.</w:t>
      </w:r>
    </w:p>
    <w:p w:rsidR="003E0EDA" w:rsidRPr="00474078" w:rsidRDefault="003E0EDA" w:rsidP="003E0ED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02B3" w:rsidRDefault="006002B3">
      <w:bookmarkStart w:id="2" w:name="_GoBack"/>
      <w:bookmarkEnd w:id="2"/>
    </w:p>
    <w:sectPr w:rsidR="006002B3" w:rsidSect="00474078">
      <w:head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045278"/>
      <w:docPartObj>
        <w:docPartGallery w:val="Page Numbers (Top of Page)"/>
        <w:docPartUnique/>
      </w:docPartObj>
    </w:sdtPr>
    <w:sdtEndPr/>
    <w:sdtContent>
      <w:p w:rsidR="00474078" w:rsidRDefault="003E0ED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74078" w:rsidRDefault="003E0ED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DA"/>
    <w:rsid w:val="00017AC9"/>
    <w:rsid w:val="00041373"/>
    <w:rsid w:val="00060BB5"/>
    <w:rsid w:val="0007045C"/>
    <w:rsid w:val="000E74A4"/>
    <w:rsid w:val="00114D43"/>
    <w:rsid w:val="0012249E"/>
    <w:rsid w:val="001570D9"/>
    <w:rsid w:val="001621F1"/>
    <w:rsid w:val="001B06FA"/>
    <w:rsid w:val="001F56A5"/>
    <w:rsid w:val="00223D62"/>
    <w:rsid w:val="00227224"/>
    <w:rsid w:val="00231566"/>
    <w:rsid w:val="00242643"/>
    <w:rsid w:val="0024340F"/>
    <w:rsid w:val="002850EE"/>
    <w:rsid w:val="002A0D97"/>
    <w:rsid w:val="002C3432"/>
    <w:rsid w:val="002C4B0D"/>
    <w:rsid w:val="002E3402"/>
    <w:rsid w:val="002F4441"/>
    <w:rsid w:val="003075F1"/>
    <w:rsid w:val="0033357F"/>
    <w:rsid w:val="00395C0F"/>
    <w:rsid w:val="003A2F1A"/>
    <w:rsid w:val="003E0EDA"/>
    <w:rsid w:val="004246E3"/>
    <w:rsid w:val="00470C47"/>
    <w:rsid w:val="00480EFC"/>
    <w:rsid w:val="00496EB6"/>
    <w:rsid w:val="004974BC"/>
    <w:rsid w:val="004D2039"/>
    <w:rsid w:val="0050566D"/>
    <w:rsid w:val="005136FA"/>
    <w:rsid w:val="00523542"/>
    <w:rsid w:val="005419BF"/>
    <w:rsid w:val="00565ACB"/>
    <w:rsid w:val="00585CE0"/>
    <w:rsid w:val="005C0FE4"/>
    <w:rsid w:val="006002B3"/>
    <w:rsid w:val="00605655"/>
    <w:rsid w:val="00630C6E"/>
    <w:rsid w:val="00633D86"/>
    <w:rsid w:val="00642781"/>
    <w:rsid w:val="006868B0"/>
    <w:rsid w:val="006B068F"/>
    <w:rsid w:val="006C6C40"/>
    <w:rsid w:val="006E6C85"/>
    <w:rsid w:val="00714968"/>
    <w:rsid w:val="007172B8"/>
    <w:rsid w:val="00743C64"/>
    <w:rsid w:val="007502F8"/>
    <w:rsid w:val="00764B19"/>
    <w:rsid w:val="00764F2F"/>
    <w:rsid w:val="008177D8"/>
    <w:rsid w:val="0082569A"/>
    <w:rsid w:val="00842305"/>
    <w:rsid w:val="00845F61"/>
    <w:rsid w:val="008539FC"/>
    <w:rsid w:val="0087481B"/>
    <w:rsid w:val="008C5CBE"/>
    <w:rsid w:val="008E1A9F"/>
    <w:rsid w:val="008E5AF9"/>
    <w:rsid w:val="008F2C9D"/>
    <w:rsid w:val="0090270C"/>
    <w:rsid w:val="00935DA5"/>
    <w:rsid w:val="00973A74"/>
    <w:rsid w:val="00991130"/>
    <w:rsid w:val="009B4B39"/>
    <w:rsid w:val="009B6B99"/>
    <w:rsid w:val="009D5602"/>
    <w:rsid w:val="009E17C9"/>
    <w:rsid w:val="009F2130"/>
    <w:rsid w:val="00A15B64"/>
    <w:rsid w:val="00A3380C"/>
    <w:rsid w:val="00A76967"/>
    <w:rsid w:val="00A9497E"/>
    <w:rsid w:val="00AD3B2C"/>
    <w:rsid w:val="00AE3795"/>
    <w:rsid w:val="00B04C8A"/>
    <w:rsid w:val="00B11E00"/>
    <w:rsid w:val="00B17F38"/>
    <w:rsid w:val="00B42EA9"/>
    <w:rsid w:val="00B54CF4"/>
    <w:rsid w:val="00B701E9"/>
    <w:rsid w:val="00BB2DD6"/>
    <w:rsid w:val="00BD6D6E"/>
    <w:rsid w:val="00C04CEB"/>
    <w:rsid w:val="00C2025A"/>
    <w:rsid w:val="00C2345D"/>
    <w:rsid w:val="00C50D60"/>
    <w:rsid w:val="00C57AA2"/>
    <w:rsid w:val="00C813AF"/>
    <w:rsid w:val="00CE20F2"/>
    <w:rsid w:val="00CE7AED"/>
    <w:rsid w:val="00D02893"/>
    <w:rsid w:val="00D544BA"/>
    <w:rsid w:val="00D65DFA"/>
    <w:rsid w:val="00DC4306"/>
    <w:rsid w:val="00DF7E88"/>
    <w:rsid w:val="00E3154F"/>
    <w:rsid w:val="00E61D89"/>
    <w:rsid w:val="00E6387E"/>
    <w:rsid w:val="00E70DD8"/>
    <w:rsid w:val="00E96EC8"/>
    <w:rsid w:val="00EC4A84"/>
    <w:rsid w:val="00EF0009"/>
    <w:rsid w:val="00F01E47"/>
    <w:rsid w:val="00F67DF7"/>
    <w:rsid w:val="00FB5C1C"/>
    <w:rsid w:val="00FB5C20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4082-4179-4D0C-BC88-6AA86B15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0E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2020-02-28T08:35:00Z</dcterms:created>
  <dcterms:modified xsi:type="dcterms:W3CDTF">2020-02-28T08:35:00Z</dcterms:modified>
</cp:coreProperties>
</file>