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EC" w:rsidRDefault="003C3EEC" w:rsidP="003C3EE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bookmarkStart w:id="0" w:name="_GoBack"/>
      <w:bookmarkEnd w:id="0"/>
      <w:r w:rsidRPr="00435F58">
        <w:rPr>
          <w:b/>
          <w:sz w:val="22"/>
          <w:szCs w:val="22"/>
        </w:rPr>
        <w:t>függelék:</w:t>
      </w:r>
    </w:p>
    <w:p w:rsidR="003C3EEC" w:rsidRDefault="003C3EEC" w:rsidP="003C3EEC">
      <w:pPr>
        <w:ind w:left="4860"/>
        <w:rPr>
          <w:b/>
          <w:sz w:val="22"/>
          <w:szCs w:val="22"/>
        </w:rPr>
      </w:pPr>
    </w:p>
    <w:p w:rsidR="003C3EEC" w:rsidRPr="00FC5DF3" w:rsidRDefault="003C3EEC" w:rsidP="003C3EEC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Lengyel község településképének védelméről szóló 2</w:t>
      </w:r>
      <w:r w:rsidRPr="00A5751B">
        <w:rPr>
          <w:sz w:val="22"/>
          <w:szCs w:val="22"/>
        </w:rPr>
        <w:t>/201</w:t>
      </w:r>
      <w:r>
        <w:rPr>
          <w:sz w:val="22"/>
          <w:szCs w:val="22"/>
        </w:rPr>
        <w:t>9</w:t>
      </w:r>
      <w:r w:rsidRPr="00A5751B">
        <w:rPr>
          <w:sz w:val="22"/>
          <w:szCs w:val="22"/>
        </w:rPr>
        <w:t xml:space="preserve">. </w:t>
      </w:r>
      <w:r>
        <w:rPr>
          <w:sz w:val="22"/>
          <w:szCs w:val="22"/>
        </w:rPr>
        <w:t>(II.14.)</w:t>
      </w:r>
      <w:r w:rsidRPr="00A5751B">
        <w:rPr>
          <w:sz w:val="22"/>
          <w:szCs w:val="22"/>
        </w:rPr>
        <w:t xml:space="preserve"> önkormányzati rendelet</w:t>
      </w:r>
      <w:r>
        <w:rPr>
          <w:sz w:val="22"/>
          <w:szCs w:val="22"/>
        </w:rPr>
        <w:t>é</w:t>
      </w:r>
      <w:r w:rsidRPr="00A5751B">
        <w:rPr>
          <w:sz w:val="22"/>
          <w:szCs w:val="22"/>
        </w:rPr>
        <w:t>hez</w:t>
      </w:r>
    </w:p>
    <w:p w:rsidR="003C3EEC" w:rsidRPr="00435F58" w:rsidRDefault="003C3EEC" w:rsidP="003C3EEC">
      <w:pPr>
        <w:ind w:left="4860"/>
        <w:rPr>
          <w:b/>
          <w:bCs/>
          <w:sz w:val="22"/>
          <w:szCs w:val="22"/>
        </w:rPr>
      </w:pPr>
    </w:p>
    <w:p w:rsidR="003C3EEC" w:rsidRPr="00435F58" w:rsidRDefault="003C3EEC" w:rsidP="003C3EEC">
      <w:pPr>
        <w:jc w:val="center"/>
        <w:rPr>
          <w:b/>
          <w:sz w:val="22"/>
          <w:szCs w:val="22"/>
        </w:rPr>
      </w:pPr>
      <w:r w:rsidRPr="00435F58">
        <w:rPr>
          <w:b/>
          <w:sz w:val="22"/>
          <w:szCs w:val="22"/>
        </w:rPr>
        <w:t>Lengyel község műemléki védelem alatt álló épületei, építményei</w:t>
      </w:r>
    </w:p>
    <w:p w:rsidR="003C3EEC" w:rsidRPr="00213B51" w:rsidRDefault="003C3EEC" w:rsidP="003C3EEC">
      <w:pPr>
        <w:rPr>
          <w:b/>
          <w:sz w:val="22"/>
          <w:szCs w:val="22"/>
          <w:u w:val="single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4"/>
        <w:gridCol w:w="1093"/>
        <w:gridCol w:w="1457"/>
        <w:gridCol w:w="1099"/>
        <w:gridCol w:w="958"/>
        <w:gridCol w:w="1515"/>
        <w:gridCol w:w="1984"/>
      </w:tblGrid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jc w:val="center"/>
              <w:rPr>
                <w:rFonts w:ascii="Calibri" w:eastAsia="Arial" w:hAnsi="Calibri"/>
                <w:b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b/>
                <w:sz w:val="20"/>
                <w:szCs w:val="20"/>
              </w:rPr>
              <w:t>törzsszám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jc w:val="center"/>
              <w:rPr>
                <w:rFonts w:ascii="Calibri" w:eastAsia="Arial" w:hAnsi="Calibri"/>
                <w:b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b/>
                <w:sz w:val="20"/>
                <w:szCs w:val="20"/>
              </w:rPr>
              <w:t>azonosító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jc w:val="center"/>
              <w:rPr>
                <w:rFonts w:ascii="Calibri" w:eastAsia="Arial" w:hAnsi="Calibri"/>
                <w:b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b/>
                <w:sz w:val="20"/>
                <w:szCs w:val="20"/>
              </w:rPr>
              <w:t>védelem státusza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jc w:val="center"/>
              <w:rPr>
                <w:rFonts w:ascii="Calibri" w:eastAsia="Arial" w:hAnsi="Calibri"/>
                <w:b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b/>
                <w:sz w:val="20"/>
                <w:szCs w:val="20"/>
              </w:rPr>
              <w:t>védelem fajtája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jc w:val="center"/>
              <w:rPr>
                <w:rFonts w:ascii="Calibri" w:eastAsia="Arial" w:hAnsi="Calibri"/>
                <w:b/>
                <w:sz w:val="20"/>
                <w:szCs w:val="20"/>
              </w:rPr>
            </w:pPr>
            <w:proofErr w:type="spellStart"/>
            <w:r w:rsidRPr="00487D2D">
              <w:rPr>
                <w:rFonts w:ascii="Calibri" w:eastAsia="Arial" w:hAnsi="Calibri"/>
                <w:b/>
                <w:sz w:val="20"/>
                <w:szCs w:val="20"/>
              </w:rPr>
              <w:t>hrsz</w:t>
            </w:r>
            <w:proofErr w:type="spellEnd"/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jc w:val="center"/>
              <w:rPr>
                <w:rFonts w:ascii="Calibri" w:eastAsia="Arial" w:hAnsi="Calibri"/>
                <w:b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b/>
                <w:sz w:val="20"/>
                <w:szCs w:val="20"/>
              </w:rPr>
              <w:t>cím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jc w:val="center"/>
              <w:rPr>
                <w:rFonts w:ascii="Calibri" w:eastAsia="Arial" w:hAnsi="Calibri"/>
                <w:b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b/>
                <w:sz w:val="20"/>
                <w:szCs w:val="20"/>
              </w:rPr>
              <w:t>név</w:t>
            </w:r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8661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18/59-60-61-62, 21/1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Dózsa-major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5">
              <w:r w:rsidRPr="00487D2D">
                <w:rPr>
                  <w:rFonts w:ascii="Calibri" w:eastAsia="Arial" w:hAnsi="Calibri"/>
                  <w:sz w:val="20"/>
                  <w:szCs w:val="20"/>
                </w:rPr>
                <w:t>"</w:t>
              </w:r>
              <w:proofErr w:type="spellStart"/>
              <w:r w:rsidRPr="00487D2D">
                <w:rPr>
                  <w:rFonts w:ascii="Calibri" w:eastAsia="Arial" w:hAnsi="Calibri"/>
                  <w:sz w:val="20"/>
                  <w:szCs w:val="20"/>
                </w:rPr>
                <w:t>Svejcerei</w:t>
              </w:r>
              <w:proofErr w:type="spellEnd"/>
              <w:r w:rsidRPr="00487D2D">
                <w:rPr>
                  <w:rFonts w:ascii="Calibri" w:eastAsia="Arial" w:hAnsi="Calibri"/>
                  <w:sz w:val="20"/>
                  <w:szCs w:val="20"/>
                </w:rPr>
                <w:t xml:space="preserve">" </w:t>
              </w:r>
              <w:proofErr w:type="spellStart"/>
              <w:r w:rsidRPr="00487D2D">
                <w:rPr>
                  <w:rFonts w:ascii="Calibri" w:eastAsia="Arial" w:hAnsi="Calibri"/>
                  <w:sz w:val="20"/>
                  <w:szCs w:val="20"/>
                </w:rPr>
                <w:t>rizalitos</w:t>
              </w:r>
              <w:proofErr w:type="spellEnd"/>
              <w:r w:rsidRPr="00487D2D">
                <w:rPr>
                  <w:rFonts w:ascii="Calibri" w:eastAsia="Arial" w:hAnsi="Calibri"/>
                  <w:sz w:val="20"/>
                  <w:szCs w:val="20"/>
                </w:rPr>
                <w:t xml:space="preserve"> tehénistálló, terménytár és gondozói lak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22180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környezet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6">
              <w:r w:rsidRPr="00487D2D">
                <w:rPr>
                  <w:rFonts w:ascii="Calibri" w:eastAsia="Arial" w:hAnsi="Calibri"/>
                  <w:sz w:val="20"/>
                  <w:szCs w:val="20"/>
                </w:rPr>
                <w:t>"</w:t>
              </w:r>
              <w:proofErr w:type="spellStart"/>
              <w:r w:rsidRPr="00487D2D">
                <w:rPr>
                  <w:rFonts w:ascii="Calibri" w:eastAsia="Arial" w:hAnsi="Calibri"/>
                  <w:sz w:val="20"/>
                  <w:szCs w:val="20"/>
                </w:rPr>
                <w:t>Svejcerei</w:t>
              </w:r>
              <w:proofErr w:type="spellEnd"/>
              <w:r w:rsidRPr="00487D2D">
                <w:rPr>
                  <w:rFonts w:ascii="Calibri" w:eastAsia="Arial" w:hAnsi="Calibri"/>
                  <w:sz w:val="20"/>
                  <w:szCs w:val="20"/>
                </w:rPr>
                <w:t xml:space="preserve">" </w:t>
              </w:r>
              <w:proofErr w:type="spellStart"/>
              <w:r w:rsidRPr="00487D2D">
                <w:rPr>
                  <w:rFonts w:ascii="Calibri" w:eastAsia="Arial" w:hAnsi="Calibri"/>
                  <w:sz w:val="20"/>
                  <w:szCs w:val="20"/>
                </w:rPr>
                <w:t>rizalitos</w:t>
              </w:r>
              <w:proofErr w:type="spellEnd"/>
              <w:r w:rsidRPr="00487D2D">
                <w:rPr>
                  <w:rFonts w:ascii="Calibri" w:eastAsia="Arial" w:hAnsi="Calibri"/>
                  <w:sz w:val="20"/>
                  <w:szCs w:val="20"/>
                </w:rPr>
                <w:t xml:space="preserve"> tehénistálló, terménytár és gondozói lak ex-lege műemléki környezete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9874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8663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51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Petőfi u. 10.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7">
              <w:r w:rsidRPr="00487D2D">
                <w:rPr>
                  <w:rFonts w:ascii="Calibri" w:eastAsia="Arial" w:hAnsi="Calibri"/>
                  <w:sz w:val="20"/>
                  <w:szCs w:val="20"/>
                </w:rPr>
                <w:t>Apponyi Sándor-féle borpince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9874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22181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környezet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8">
              <w:r w:rsidRPr="00487D2D">
                <w:rPr>
                  <w:rFonts w:ascii="Calibri" w:eastAsia="Arial" w:hAnsi="Calibri"/>
                  <w:sz w:val="20"/>
                  <w:szCs w:val="20"/>
                </w:rPr>
                <w:t>Apponyi Sándor-féle borpince ex-lege műemléki környezete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14675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21/1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9">
              <w:r w:rsidRPr="00487D2D">
                <w:rPr>
                  <w:rFonts w:ascii="Calibri" w:eastAsia="Arial" w:hAnsi="Calibri"/>
                  <w:sz w:val="20"/>
                  <w:szCs w:val="20"/>
                </w:rPr>
                <w:t>gondozói lak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14679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 [tartozék]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18/62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Dózsa-major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0">
              <w:r w:rsidRPr="00487D2D">
                <w:rPr>
                  <w:rFonts w:ascii="Calibri" w:eastAsia="Arial" w:hAnsi="Calibri"/>
                  <w:sz w:val="20"/>
                  <w:szCs w:val="20"/>
                </w:rPr>
                <w:t>kocsiszín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14678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 [tartozék]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18/59-60-61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Dózsa-major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1">
              <w:r w:rsidRPr="00487D2D">
                <w:rPr>
                  <w:rFonts w:ascii="Calibri" w:eastAsia="Arial" w:hAnsi="Calibri"/>
                  <w:sz w:val="20"/>
                  <w:szCs w:val="20"/>
                </w:rPr>
                <w:t>lakóház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14677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 [tartozék]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18/62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Dózsa-major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2">
              <w:r w:rsidRPr="00487D2D">
                <w:rPr>
                  <w:rFonts w:ascii="Calibri" w:eastAsia="Arial" w:hAnsi="Calibri"/>
                  <w:sz w:val="20"/>
                  <w:szCs w:val="20"/>
                </w:rPr>
                <w:t>magtár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4118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8662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14,15,16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Petőfi S. u. 5.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3">
              <w:r w:rsidRPr="00487D2D">
                <w:rPr>
                  <w:rFonts w:ascii="Calibri" w:eastAsia="Arial" w:hAnsi="Calibri"/>
                  <w:sz w:val="20"/>
                  <w:szCs w:val="20"/>
                </w:rPr>
                <w:t>Szakiskola. v. Apponyi-kastély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4118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18125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környezet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4">
              <w:r w:rsidRPr="00487D2D">
                <w:rPr>
                  <w:rFonts w:ascii="Calibri" w:eastAsia="Arial" w:hAnsi="Calibri"/>
                  <w:sz w:val="20"/>
                  <w:szCs w:val="20"/>
                </w:rPr>
                <w:t>Szakiskola. v. Apponyi-kastély ex-lege műemléki környezete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14673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21/1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5">
              <w:r w:rsidRPr="00487D2D">
                <w:rPr>
                  <w:rFonts w:ascii="Calibri" w:eastAsia="Arial" w:hAnsi="Calibri"/>
                  <w:sz w:val="20"/>
                  <w:szCs w:val="20"/>
                </w:rPr>
                <w:t>tehénistálló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9859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14674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Műemléki védelem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Műemlék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21/1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6">
              <w:r w:rsidRPr="00487D2D">
                <w:rPr>
                  <w:rFonts w:ascii="Calibri" w:eastAsia="Arial" w:hAnsi="Calibri"/>
                  <w:sz w:val="20"/>
                  <w:szCs w:val="20"/>
                </w:rPr>
                <w:t>terménytár</w:t>
              </w:r>
            </w:hyperlink>
          </w:p>
        </w:tc>
      </w:tr>
      <w:tr w:rsidR="003C3EEC" w:rsidRPr="00487D2D" w:rsidTr="00961CFA">
        <w:tc>
          <w:tcPr>
            <w:tcW w:w="107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4119</w:t>
            </w:r>
          </w:p>
        </w:tc>
        <w:tc>
          <w:tcPr>
            <w:tcW w:w="1093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8660</w:t>
            </w:r>
          </w:p>
        </w:tc>
        <w:tc>
          <w:tcPr>
            <w:tcW w:w="1457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Nyilvántartott műemléki érték</w:t>
            </w:r>
          </w:p>
        </w:tc>
        <w:tc>
          <w:tcPr>
            <w:tcW w:w="1099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általános műemléki védelem</w:t>
            </w:r>
          </w:p>
        </w:tc>
        <w:tc>
          <w:tcPr>
            <w:tcW w:w="958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82/1</w:t>
            </w:r>
          </w:p>
        </w:tc>
        <w:tc>
          <w:tcPr>
            <w:tcW w:w="1515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r w:rsidRPr="00487D2D">
              <w:rPr>
                <w:rFonts w:ascii="Calibri" w:eastAsia="Arial" w:hAnsi="Calibri"/>
                <w:sz w:val="20"/>
                <w:szCs w:val="20"/>
              </w:rPr>
              <w:t>(templomkert)</w:t>
            </w:r>
          </w:p>
        </w:tc>
        <w:tc>
          <w:tcPr>
            <w:tcW w:w="1984" w:type="dxa"/>
            <w:vAlign w:val="center"/>
          </w:tcPr>
          <w:p w:rsidR="003C3EEC" w:rsidRPr="00487D2D" w:rsidRDefault="003C3EEC" w:rsidP="00961CFA">
            <w:pPr>
              <w:rPr>
                <w:rFonts w:ascii="Calibri" w:eastAsia="Arial" w:hAnsi="Calibri"/>
                <w:sz w:val="20"/>
                <w:szCs w:val="20"/>
              </w:rPr>
            </w:pPr>
            <w:hyperlink r:id="rId17">
              <w:r w:rsidRPr="00487D2D">
                <w:rPr>
                  <w:rFonts w:ascii="Calibri" w:eastAsia="Arial" w:hAnsi="Calibri"/>
                  <w:sz w:val="20"/>
                  <w:szCs w:val="20"/>
                </w:rPr>
                <w:t>Szent Flórián-szobor</w:t>
              </w:r>
            </w:hyperlink>
          </w:p>
        </w:tc>
      </w:tr>
    </w:tbl>
    <w:p w:rsidR="00DA0496" w:rsidRPr="003C3EEC" w:rsidRDefault="00DA0496" w:rsidP="003C3EEC"/>
    <w:sectPr w:rsidR="00DA0496" w:rsidRPr="003C3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A300B"/>
    <w:multiLevelType w:val="hybridMultilevel"/>
    <w:tmpl w:val="80BAE55A"/>
    <w:lvl w:ilvl="0" w:tplc="35AA359E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b/>
        <w:color w:val="auto"/>
      </w:rPr>
    </w:lvl>
    <w:lvl w:ilvl="1" w:tplc="B55042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BF47558">
      <w:start w:val="1"/>
      <w:numFmt w:val="decimal"/>
      <w:lvlText w:val="(%3)"/>
      <w:lvlJc w:val="left"/>
      <w:pPr>
        <w:tabs>
          <w:tab w:val="num" w:pos="1260"/>
        </w:tabs>
        <w:ind w:left="2340" w:hanging="360"/>
      </w:pPr>
      <w:rPr>
        <w:rFonts w:cs="Times New Roman"/>
        <w:b w:val="0"/>
        <w:i w:val="0"/>
        <w:color w:val="auto"/>
        <w:sz w:val="22"/>
        <w:szCs w:val="22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color w:val="auto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40"/>
    <w:rsid w:val="003C3EEC"/>
    <w:rsid w:val="00862E40"/>
    <w:rsid w:val="00D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D1E56-53B1-486D-9258-84AD9090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forsterkozpont.hu/m%C5%B1eml%C3%A9k?azon=22181" TargetMode="External"/><Relationship Id="rId13" Type="http://schemas.openxmlformats.org/officeDocument/2006/relationships/hyperlink" Target="http://ivo.forsterkozpont.hu/m%C5%B1eml%C3%A9k?azon=86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forsterkozpont.hu/m%C5%B1eml%C3%A9k?azon=8663" TargetMode="External"/><Relationship Id="rId12" Type="http://schemas.openxmlformats.org/officeDocument/2006/relationships/hyperlink" Target="http://ivo.forsterkozpont.hu/m%C5%B1eml%C3%A9k?azon=14677" TargetMode="External"/><Relationship Id="rId17" Type="http://schemas.openxmlformats.org/officeDocument/2006/relationships/hyperlink" Target="http://ivo.forsterkozpont.hu/m%C5%B1eml%C3%A9k?azon=866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forsterkozpont.hu/m%C5%B1eml%C3%A9k?azon=1467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forsterkozpont.hu/m%C5%B1eml%C3%A9k?azon=22180" TargetMode="External"/><Relationship Id="rId11" Type="http://schemas.openxmlformats.org/officeDocument/2006/relationships/hyperlink" Target="http://ivo.forsterkozpont.hu/m%C5%B1eml%C3%A9k?azon=14678" TargetMode="External"/><Relationship Id="rId5" Type="http://schemas.openxmlformats.org/officeDocument/2006/relationships/hyperlink" Target="http://ivo.forsterkozpont.hu/m%C5%B1eml%C3%A9k?azon=8661" TargetMode="External"/><Relationship Id="rId15" Type="http://schemas.openxmlformats.org/officeDocument/2006/relationships/hyperlink" Target="http://ivo.forsterkozpont.hu/m%C5%B1eml%C3%A9k?azon=14673" TargetMode="External"/><Relationship Id="rId10" Type="http://schemas.openxmlformats.org/officeDocument/2006/relationships/hyperlink" Target="http://ivo.forsterkozpont.hu/m%C5%B1eml%C3%A9k?azon=1467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forsterkozpont.hu/m%C5%B1eml%C3%A9k?azon=14675" TargetMode="External"/><Relationship Id="rId14" Type="http://schemas.openxmlformats.org/officeDocument/2006/relationships/hyperlink" Target="http://ivo.forsterkozpont.hu/m%C5%B1eml%C3%A9k?azon=181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2019-02-13T13:02:00Z</dcterms:created>
  <dcterms:modified xsi:type="dcterms:W3CDTF">2019-02-13T13:02:00Z</dcterms:modified>
</cp:coreProperties>
</file>