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690D8" w14:textId="77777777" w:rsidR="00C922E3" w:rsidRDefault="00C922E3" w:rsidP="00C922E3">
      <w:pPr>
        <w:spacing w:after="0"/>
        <w:jc w:val="center"/>
        <w:rPr>
          <w:rFonts w:ascii="Book Antiqua" w:eastAsia="Times New Roman" w:hAnsi="Book Antiqua"/>
          <w:b/>
          <w:bCs/>
        </w:rPr>
      </w:pPr>
      <w:r>
        <w:rPr>
          <w:rFonts w:ascii="Book Antiqua" w:eastAsia="Times New Roman" w:hAnsi="Book Antiqua"/>
          <w:b/>
          <w:bCs/>
        </w:rPr>
        <w:t>ELŐZETES HATÁSVIZSGÁLAT</w:t>
      </w:r>
    </w:p>
    <w:p w14:paraId="679F77F9" w14:textId="77777777" w:rsidR="00C922E3" w:rsidRDefault="00C922E3" w:rsidP="00C922E3">
      <w:pPr>
        <w:spacing w:after="0"/>
        <w:jc w:val="center"/>
        <w:rPr>
          <w:rFonts w:ascii="Book Antiqua" w:eastAsia="Times New Roman" w:hAnsi="Book Antiqua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5"/>
        <w:gridCol w:w="150"/>
        <w:gridCol w:w="49"/>
        <w:gridCol w:w="1767"/>
        <w:gridCol w:w="744"/>
        <w:gridCol w:w="1320"/>
        <w:gridCol w:w="1385"/>
        <w:gridCol w:w="680"/>
        <w:gridCol w:w="1428"/>
      </w:tblGrid>
      <w:tr w:rsidR="00C922E3" w14:paraId="3CE95104" w14:textId="77777777" w:rsidTr="00C922E3">
        <w:trPr>
          <w:trHeight w:val="683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A6C90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  <w:b/>
                <w:bCs/>
              </w:rPr>
            </w:pPr>
            <w:r>
              <w:rPr>
                <w:rFonts w:ascii="Book Antiqua" w:eastAsia="Times New Roman" w:hAnsi="Book Antiqua" w:cs="Book Antiqua"/>
                <w:b/>
                <w:bCs/>
              </w:rPr>
              <w:t>Rendelet-tervezet címe:</w:t>
            </w:r>
          </w:p>
        </w:tc>
        <w:tc>
          <w:tcPr>
            <w:tcW w:w="112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3B9BC" w14:textId="77777777" w:rsidR="00C922E3" w:rsidRDefault="00C922E3">
            <w:pPr>
              <w:spacing w:after="0" w:line="240" w:lineRule="auto"/>
              <w:rPr>
                <w:rFonts w:ascii="Book Antiqua" w:hAnsi="Book Antiqua"/>
                <w:b/>
                <w:lang w:eastAsia="hu-HU"/>
              </w:rPr>
            </w:pPr>
            <w:r>
              <w:rPr>
                <w:rFonts w:ascii="Book Antiqua" w:hAnsi="Book Antiqua"/>
                <w:b/>
                <w:lang w:eastAsia="hu-HU"/>
              </w:rPr>
              <w:t>Keszthely Város Önkormányzata Képviselő-testülete</w:t>
            </w:r>
            <w:proofErr w:type="gramStart"/>
            <w:r>
              <w:rPr>
                <w:rFonts w:ascii="Book Antiqua" w:hAnsi="Book Antiqua"/>
                <w:b/>
                <w:lang w:eastAsia="hu-HU"/>
              </w:rPr>
              <w:t xml:space="preserve"> ….</w:t>
            </w:r>
            <w:proofErr w:type="gramEnd"/>
            <w:r>
              <w:rPr>
                <w:rFonts w:ascii="Book Antiqua" w:hAnsi="Book Antiqua"/>
                <w:b/>
                <w:lang w:eastAsia="hu-HU"/>
              </w:rPr>
              <w:t xml:space="preserve">/2020.(...) önkormányzati rendelete Keszthely Város Önkormányzata Szervezeti és Működési Szabályzatáról szóló 23/2014. (X. 22.) önkormányzati rendelet módosításáról </w:t>
            </w:r>
          </w:p>
        </w:tc>
      </w:tr>
      <w:tr w:rsidR="00C922E3" w14:paraId="700A9A6D" w14:textId="77777777" w:rsidTr="00C922E3">
        <w:trPr>
          <w:trHeight w:val="440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D99F" w14:textId="77777777" w:rsidR="00C922E3" w:rsidRDefault="00C922E3">
            <w:pPr>
              <w:spacing w:after="0"/>
              <w:jc w:val="center"/>
              <w:rPr>
                <w:rFonts w:ascii="Book Antiqua" w:eastAsia="Times New Roman" w:hAnsi="Book Antiqua" w:cs="Book Antiqua"/>
                <w:b/>
                <w:bCs/>
              </w:rPr>
            </w:pPr>
            <w:r>
              <w:rPr>
                <w:rFonts w:ascii="Book Antiqua" w:eastAsia="Times New Roman" w:hAnsi="Book Antiqua" w:cs="Book Antiqua"/>
                <w:b/>
                <w:bCs/>
              </w:rPr>
              <w:t>Rendelet-tervezet valamennyi jelentős hatása, különösen</w:t>
            </w:r>
          </w:p>
        </w:tc>
      </w:tr>
      <w:tr w:rsidR="00C922E3" w14:paraId="794C6E2E" w14:textId="77777777" w:rsidTr="00C922E3">
        <w:trPr>
          <w:trHeight w:val="620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3367D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  <w:b/>
                <w:bCs/>
              </w:rPr>
            </w:pPr>
            <w:r>
              <w:rPr>
                <w:rFonts w:ascii="Book Antiqua" w:eastAsia="Times New Roman" w:hAnsi="Book Antiqua" w:cs="Book Antiqua"/>
                <w:b/>
                <w:bCs/>
              </w:rPr>
              <w:t>Társadalmi, gazdasági hatás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E5304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  <w:b/>
                <w:bCs/>
              </w:rPr>
            </w:pPr>
            <w:r>
              <w:rPr>
                <w:rFonts w:ascii="Book Antiqua" w:eastAsia="Times New Roman" w:hAnsi="Book Antiqua" w:cs="Book Antiqua"/>
                <w:b/>
                <w:bCs/>
              </w:rPr>
              <w:t>Költségvetési hatás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3B917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  <w:b/>
                <w:bCs/>
              </w:rPr>
            </w:pPr>
            <w:r>
              <w:rPr>
                <w:rFonts w:ascii="Book Antiqua" w:eastAsia="Times New Roman" w:hAnsi="Book Antiqua" w:cs="Book Antiqua"/>
                <w:b/>
                <w:bCs/>
              </w:rPr>
              <w:t>Környezeti, egészségügyi következmények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06BEB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  <w:b/>
                <w:bCs/>
              </w:rPr>
            </w:pPr>
            <w:r>
              <w:rPr>
                <w:rFonts w:ascii="Book Antiqua" w:eastAsia="Times New Roman" w:hAnsi="Book Antiqua" w:cs="Book Antiqua"/>
                <w:b/>
                <w:bCs/>
              </w:rPr>
              <w:t xml:space="preserve">Adminisztratív </w:t>
            </w:r>
            <w:proofErr w:type="spellStart"/>
            <w:r>
              <w:rPr>
                <w:rFonts w:ascii="Book Antiqua" w:eastAsia="Times New Roman" w:hAnsi="Book Antiqua" w:cs="Book Antiqua"/>
                <w:b/>
                <w:bCs/>
              </w:rPr>
              <w:t>terheket</w:t>
            </w:r>
            <w:proofErr w:type="spellEnd"/>
            <w:r>
              <w:rPr>
                <w:rFonts w:ascii="Book Antiqua" w:eastAsia="Times New Roman" w:hAnsi="Book Antiqua" w:cs="Book Antiqua"/>
                <w:b/>
                <w:bCs/>
              </w:rPr>
              <w:t xml:space="preserve"> befolyásoló hatás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8D191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  <w:b/>
                <w:bCs/>
              </w:rPr>
            </w:pPr>
            <w:r>
              <w:rPr>
                <w:rFonts w:ascii="Book Antiqua" w:eastAsia="Times New Roman" w:hAnsi="Book Antiqua" w:cs="Book Antiqua"/>
                <w:b/>
                <w:bCs/>
              </w:rPr>
              <w:t>Egyéb hatás</w:t>
            </w:r>
          </w:p>
        </w:tc>
      </w:tr>
      <w:tr w:rsidR="00C922E3" w14:paraId="1C31464A" w14:textId="77777777" w:rsidTr="00C922E3">
        <w:trPr>
          <w:trHeight w:val="1134"/>
        </w:trPr>
        <w:tc>
          <w:tcPr>
            <w:tcW w:w="3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D7FF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</w:rPr>
            </w:pPr>
            <w:r>
              <w:rPr>
                <w:rFonts w:ascii="Book Antiqua" w:eastAsia="Times New Roman" w:hAnsi="Book Antiqua" w:cs="Book Antiqua"/>
              </w:rPr>
              <w:t>Nincs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9F9BA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</w:rPr>
            </w:pPr>
            <w:r>
              <w:rPr>
                <w:rFonts w:ascii="Book Antiqua" w:eastAsia="Times New Roman" w:hAnsi="Book Antiqua" w:cs="Book Antiqua"/>
              </w:rPr>
              <w:t>Nincs</w:t>
            </w:r>
          </w:p>
        </w:tc>
        <w:tc>
          <w:tcPr>
            <w:tcW w:w="2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E0EDE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</w:rPr>
            </w:pPr>
            <w:r>
              <w:rPr>
                <w:rFonts w:ascii="Book Antiqua" w:eastAsia="Times New Roman" w:hAnsi="Book Antiqua" w:cs="Book Antiqua"/>
              </w:rPr>
              <w:t>Nincs</w:t>
            </w:r>
          </w:p>
        </w:tc>
        <w:tc>
          <w:tcPr>
            <w:tcW w:w="2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D1A44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</w:rPr>
            </w:pPr>
            <w:r>
              <w:rPr>
                <w:rFonts w:ascii="Book Antiqua" w:eastAsia="Times New Roman" w:hAnsi="Book Antiqua" w:cs="Book Antiqua"/>
              </w:rPr>
              <w:t>Nem jelentős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55E58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</w:rPr>
            </w:pPr>
            <w:r>
              <w:rPr>
                <w:rFonts w:ascii="Book Antiqua" w:eastAsia="Times New Roman" w:hAnsi="Book Antiqua" w:cs="Book Antiqua"/>
              </w:rPr>
              <w:t>Nincs</w:t>
            </w:r>
          </w:p>
        </w:tc>
      </w:tr>
      <w:tr w:rsidR="00C922E3" w14:paraId="39B6E079" w14:textId="77777777" w:rsidTr="00C922E3">
        <w:trPr>
          <w:trHeight w:val="521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24326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</w:rPr>
            </w:pPr>
            <w:r>
              <w:rPr>
                <w:rFonts w:ascii="Book Antiqua" w:eastAsia="Times New Roman" w:hAnsi="Book Antiqua" w:cs="Book Antiqua"/>
                <w:b/>
                <w:bCs/>
              </w:rPr>
              <w:t>A rendelet megalkotása szükséges:</w:t>
            </w:r>
            <w:r>
              <w:rPr>
                <w:rFonts w:ascii="Book Antiqua" w:eastAsia="Times New Roman" w:hAnsi="Book Antiqua" w:cs="Book Antiqua"/>
              </w:rPr>
              <w:t xml:space="preserve"> a Közbeszerzési Szabályzat módosításából adódó változások átvezetése </w:t>
            </w:r>
          </w:p>
        </w:tc>
      </w:tr>
      <w:tr w:rsidR="00C922E3" w14:paraId="7FE15298" w14:textId="77777777" w:rsidTr="00C922E3">
        <w:trPr>
          <w:trHeight w:val="539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E495D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</w:rPr>
            </w:pPr>
            <w:r>
              <w:rPr>
                <w:rFonts w:ascii="Book Antiqua" w:eastAsia="Times New Roman" w:hAnsi="Book Antiqua" w:cs="Book Antiqua"/>
                <w:b/>
                <w:bCs/>
              </w:rPr>
              <w:t>A rendelet megalkotásának elmaradása esetén várható következmények:</w:t>
            </w:r>
            <w:r>
              <w:rPr>
                <w:rFonts w:ascii="Book Antiqua" w:eastAsia="Times New Roman" w:hAnsi="Book Antiqua" w:cs="Book Antiqua"/>
              </w:rPr>
              <w:t xml:space="preserve"> a Közbeszerzési Szabályzattal való összhang hiánya </w:t>
            </w:r>
          </w:p>
        </w:tc>
      </w:tr>
      <w:tr w:rsidR="00C922E3" w14:paraId="32BB54C8" w14:textId="77777777" w:rsidTr="00C922E3">
        <w:trPr>
          <w:trHeight w:val="431"/>
        </w:trPr>
        <w:tc>
          <w:tcPr>
            <w:tcW w:w="140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7AF2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  <w:b/>
                <w:bCs/>
              </w:rPr>
            </w:pPr>
            <w:r>
              <w:rPr>
                <w:rFonts w:ascii="Book Antiqua" w:eastAsia="Times New Roman" w:hAnsi="Book Antiqua" w:cs="Book Antiqua"/>
                <w:b/>
                <w:bCs/>
              </w:rPr>
              <w:t>A rendelet alkalmazásához szükséges feltételek:</w:t>
            </w:r>
          </w:p>
        </w:tc>
      </w:tr>
      <w:tr w:rsidR="00C922E3" w14:paraId="15D83E9D" w14:textId="77777777" w:rsidTr="00C922E3">
        <w:trPr>
          <w:trHeight w:val="404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03F58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  <w:b/>
                <w:bCs/>
              </w:rPr>
            </w:pPr>
            <w:r>
              <w:rPr>
                <w:rFonts w:ascii="Book Antiqua" w:eastAsia="Times New Roman" w:hAnsi="Book Antiqua" w:cs="Book Antiqua"/>
                <w:b/>
                <w:bCs/>
              </w:rPr>
              <w:t>Személyi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AF6C7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  <w:b/>
                <w:bCs/>
              </w:rPr>
            </w:pPr>
            <w:r>
              <w:rPr>
                <w:rFonts w:ascii="Book Antiqua" w:eastAsia="Times New Roman" w:hAnsi="Book Antiqua" w:cs="Book Antiqua"/>
                <w:b/>
                <w:bCs/>
              </w:rPr>
              <w:t>Szervezeti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9E1AC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  <w:b/>
                <w:bCs/>
              </w:rPr>
            </w:pPr>
            <w:r>
              <w:rPr>
                <w:rFonts w:ascii="Book Antiqua" w:eastAsia="Times New Roman" w:hAnsi="Book Antiqua" w:cs="Book Antiqua"/>
                <w:b/>
                <w:bCs/>
              </w:rPr>
              <w:t>Tárgyi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351DC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  <w:b/>
                <w:bCs/>
              </w:rPr>
            </w:pPr>
            <w:r>
              <w:rPr>
                <w:rFonts w:ascii="Book Antiqua" w:eastAsia="Times New Roman" w:hAnsi="Book Antiqua" w:cs="Book Antiqua"/>
                <w:b/>
                <w:bCs/>
              </w:rPr>
              <w:t>Pénzügyi</w:t>
            </w:r>
          </w:p>
        </w:tc>
      </w:tr>
      <w:tr w:rsidR="00C922E3" w14:paraId="7F62BDB7" w14:textId="77777777" w:rsidTr="00C922E3">
        <w:trPr>
          <w:trHeight w:val="2141"/>
        </w:trPr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6D0C6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</w:rPr>
            </w:pPr>
            <w:r>
              <w:rPr>
                <w:rFonts w:ascii="Book Antiqua" w:eastAsia="Times New Roman" w:hAnsi="Book Antiqua" w:cs="Book Antiqua"/>
              </w:rPr>
              <w:t>Nem igényel további személyi feltételeket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3F732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</w:rPr>
            </w:pPr>
            <w:r>
              <w:rPr>
                <w:rFonts w:ascii="Book Antiqua" w:eastAsia="Times New Roman" w:hAnsi="Book Antiqua" w:cs="Book Antiqua"/>
              </w:rPr>
              <w:t>A jelenlegi szervezeti struktúrában a szükséges feltételek biztosítottak</w:t>
            </w:r>
          </w:p>
        </w:tc>
        <w:tc>
          <w:tcPr>
            <w:tcW w:w="3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F2D02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</w:rPr>
            </w:pPr>
            <w:r>
              <w:rPr>
                <w:rFonts w:ascii="Book Antiqua" w:eastAsia="Times New Roman" w:hAnsi="Book Antiqua" w:cs="Book Antiqua"/>
              </w:rPr>
              <w:t>Nem igényel további tárgyi erőforrásokat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E5228" w14:textId="77777777" w:rsidR="00C922E3" w:rsidRDefault="00C922E3">
            <w:pPr>
              <w:spacing w:after="0"/>
              <w:rPr>
                <w:rFonts w:ascii="Book Antiqua" w:eastAsia="Times New Roman" w:hAnsi="Book Antiqua" w:cs="Book Antiqua"/>
              </w:rPr>
            </w:pPr>
            <w:r>
              <w:rPr>
                <w:rFonts w:ascii="Book Antiqua" w:eastAsia="Times New Roman" w:hAnsi="Book Antiqua" w:cs="Book Antiqua"/>
              </w:rPr>
              <w:t>Nem jár további pénzügyi kötelezettséggel</w:t>
            </w:r>
          </w:p>
        </w:tc>
      </w:tr>
    </w:tbl>
    <w:p w14:paraId="0A1518FC" w14:textId="77777777" w:rsidR="00C922E3" w:rsidRDefault="00C922E3" w:rsidP="00C922E3">
      <w:pPr>
        <w:spacing w:after="0" w:line="240" w:lineRule="auto"/>
        <w:ind w:right="-301"/>
        <w:jc w:val="center"/>
        <w:rPr>
          <w:rFonts w:ascii="Book Antiqua" w:eastAsia="Times New Roman" w:hAnsi="Book Antiqua"/>
          <w:color w:val="000000"/>
        </w:rPr>
      </w:pPr>
    </w:p>
    <w:p w14:paraId="666C26A1" w14:textId="77777777" w:rsidR="00C922E3" w:rsidRDefault="00C922E3" w:rsidP="00C922E3">
      <w:pPr>
        <w:spacing w:after="0" w:line="240" w:lineRule="auto"/>
        <w:ind w:right="-301"/>
        <w:jc w:val="center"/>
        <w:rPr>
          <w:rFonts w:ascii="Book Antiqua" w:eastAsia="Times New Roman" w:hAnsi="Book Antiqua"/>
          <w:color w:val="000000"/>
        </w:rPr>
      </w:pPr>
    </w:p>
    <w:p w14:paraId="5E12D956" w14:textId="77777777" w:rsidR="00C922E3" w:rsidRDefault="00C922E3" w:rsidP="00C922E3">
      <w:pPr>
        <w:spacing w:after="0" w:line="240" w:lineRule="auto"/>
        <w:ind w:right="-301"/>
        <w:rPr>
          <w:rFonts w:ascii="Book Antiqua" w:eastAsia="Times New Roman" w:hAnsi="Book Antiqua"/>
        </w:rPr>
      </w:pPr>
    </w:p>
    <w:p w14:paraId="142892D5" w14:textId="77777777" w:rsidR="00C922E3" w:rsidRDefault="00C922E3" w:rsidP="00C922E3">
      <w:pPr>
        <w:tabs>
          <w:tab w:val="center" w:pos="0"/>
          <w:tab w:val="center" w:pos="7655"/>
        </w:tabs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Általános indokolás</w:t>
      </w:r>
    </w:p>
    <w:p w14:paraId="7395C001" w14:textId="77777777" w:rsidR="00C922E3" w:rsidRDefault="00C922E3" w:rsidP="00C922E3">
      <w:pPr>
        <w:tabs>
          <w:tab w:val="center" w:pos="0"/>
          <w:tab w:val="center" w:pos="765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2F3E345" w14:textId="77777777" w:rsidR="00C922E3" w:rsidRDefault="00C922E3" w:rsidP="00C922E3">
      <w:pPr>
        <w:tabs>
          <w:tab w:val="center" w:pos="0"/>
          <w:tab w:val="center" w:pos="765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162A01C" w14:textId="77777777" w:rsidR="00C922E3" w:rsidRDefault="00C922E3" w:rsidP="00C922E3">
      <w:pPr>
        <w:tabs>
          <w:tab w:val="center" w:pos="0"/>
          <w:tab w:val="center" w:pos="7655"/>
        </w:tabs>
        <w:spacing w:after="0" w:line="240" w:lineRule="auto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 xml:space="preserve">A Szervezeti és Működési Szabályzat módosítása a Közbeszerzési Szabályzat módosításából adódó változások átvezetése miatt indokolt. </w:t>
      </w:r>
    </w:p>
    <w:p w14:paraId="6FA54E67" w14:textId="77777777" w:rsidR="00C922E3" w:rsidRDefault="00C922E3" w:rsidP="00C922E3">
      <w:pPr>
        <w:tabs>
          <w:tab w:val="center" w:pos="0"/>
          <w:tab w:val="center" w:pos="7655"/>
        </w:tabs>
        <w:spacing w:after="0" w:line="240" w:lineRule="auto"/>
        <w:rPr>
          <w:rFonts w:ascii="Book Antiqua" w:eastAsia="Times New Roman" w:hAnsi="Book Antiqua" w:cs="Book Antiqua"/>
        </w:rPr>
      </w:pPr>
    </w:p>
    <w:p w14:paraId="33BDA58D" w14:textId="77777777" w:rsidR="00C922E3" w:rsidRDefault="00C922E3" w:rsidP="00C922E3">
      <w:pPr>
        <w:tabs>
          <w:tab w:val="center" w:pos="0"/>
          <w:tab w:val="center" w:pos="7655"/>
        </w:tabs>
        <w:spacing w:after="0" w:line="240" w:lineRule="auto"/>
        <w:rPr>
          <w:rFonts w:ascii="Book Antiqua" w:eastAsia="Times New Roman" w:hAnsi="Book Antiqua" w:cs="Book Antiqua"/>
        </w:rPr>
      </w:pPr>
    </w:p>
    <w:p w14:paraId="0D84EDDD" w14:textId="77777777" w:rsidR="00C922E3" w:rsidRDefault="00C922E3" w:rsidP="00C922E3">
      <w:pPr>
        <w:tabs>
          <w:tab w:val="center" w:pos="0"/>
          <w:tab w:val="center" w:pos="7655"/>
        </w:tabs>
        <w:spacing w:after="0" w:line="240" w:lineRule="auto"/>
        <w:jc w:val="center"/>
        <w:rPr>
          <w:rFonts w:ascii="Book Antiqua" w:eastAsia="Times New Roman" w:hAnsi="Book Antiqua" w:cs="Book Antiqua"/>
          <w:b/>
          <w:bCs/>
        </w:rPr>
      </w:pPr>
      <w:r>
        <w:rPr>
          <w:rFonts w:ascii="Book Antiqua" w:eastAsia="Times New Roman" w:hAnsi="Book Antiqua" w:cs="Book Antiqua"/>
          <w:b/>
          <w:bCs/>
        </w:rPr>
        <w:t xml:space="preserve">Részletes indokolás </w:t>
      </w:r>
    </w:p>
    <w:p w14:paraId="3FA5F062" w14:textId="77777777" w:rsidR="00C922E3" w:rsidRDefault="00C922E3" w:rsidP="00C922E3">
      <w:pPr>
        <w:tabs>
          <w:tab w:val="center" w:pos="0"/>
          <w:tab w:val="center" w:pos="7655"/>
        </w:tabs>
        <w:spacing w:after="0" w:line="240" w:lineRule="auto"/>
        <w:rPr>
          <w:rFonts w:ascii="Book Antiqua" w:eastAsia="Times New Roman" w:hAnsi="Book Antiqua" w:cs="Book Antiqua"/>
        </w:rPr>
      </w:pPr>
    </w:p>
    <w:p w14:paraId="5C03A2D0" w14:textId="77777777" w:rsidR="00C922E3" w:rsidRDefault="00C922E3" w:rsidP="00C922E3">
      <w:pPr>
        <w:numPr>
          <w:ilvl w:val="0"/>
          <w:numId w:val="1"/>
        </w:numPr>
        <w:tabs>
          <w:tab w:val="center" w:pos="0"/>
          <w:tab w:val="center" w:pos="70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Book Antiqua" w:eastAsia="Times New Roman" w:hAnsi="Book Antiqua" w:cs="Book Antiqua"/>
        </w:rPr>
        <w:t xml:space="preserve">§-hoz </w:t>
      </w:r>
    </w:p>
    <w:p w14:paraId="1289DCC8" w14:textId="77777777" w:rsidR="00C922E3" w:rsidRDefault="00C922E3" w:rsidP="00C922E3">
      <w:pPr>
        <w:tabs>
          <w:tab w:val="center" w:pos="0"/>
          <w:tab w:val="center" w:pos="709"/>
        </w:tabs>
        <w:spacing w:after="0" w:line="240" w:lineRule="auto"/>
        <w:ind w:left="720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</w:rPr>
        <w:t>Az építési beruházások tekintetében a közbeszerzési értékhatár változása folytán a polgármester hatáskörébe tartozó eljárások értékhatárának módosítása.</w:t>
      </w:r>
    </w:p>
    <w:p w14:paraId="4DE7A89E" w14:textId="77777777" w:rsidR="00C922E3" w:rsidRDefault="00C922E3" w:rsidP="00C922E3">
      <w:pPr>
        <w:numPr>
          <w:ilvl w:val="0"/>
          <w:numId w:val="1"/>
        </w:numPr>
        <w:tabs>
          <w:tab w:val="center" w:pos="0"/>
          <w:tab w:val="center" w:pos="70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Book Antiqua" w:eastAsia="Times New Roman" w:hAnsi="Book Antiqua" w:cs="Book Antiqua"/>
        </w:rPr>
        <w:t>§-hoz</w:t>
      </w:r>
    </w:p>
    <w:p w14:paraId="4B3C8592" w14:textId="77777777" w:rsidR="00C922E3" w:rsidRDefault="00C922E3" w:rsidP="00C922E3">
      <w:pPr>
        <w:tabs>
          <w:tab w:val="center" w:pos="0"/>
          <w:tab w:val="center" w:pos="709"/>
        </w:tabs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  <w:r>
        <w:rPr>
          <w:rFonts w:ascii="Book Antiqua" w:eastAsia="Times New Roman" w:hAnsi="Book Antiqua" w:cs="Book Antiqua"/>
        </w:rPr>
        <w:t xml:space="preserve">Hatályba léptető és hatálon kívül helyező rendelkezések. </w:t>
      </w:r>
    </w:p>
    <w:p w14:paraId="6BDD1983" w14:textId="77777777" w:rsidR="002928C6" w:rsidRDefault="002928C6"/>
    <w:sectPr w:rsidR="0029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4EF9"/>
    <w:multiLevelType w:val="hybridMultilevel"/>
    <w:tmpl w:val="9F340FF2"/>
    <w:lvl w:ilvl="0" w:tplc="E892EA42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Book Antiqua" w:hint="default"/>
        <w:b w:val="0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E3"/>
    <w:rsid w:val="002928C6"/>
    <w:rsid w:val="00C9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C595"/>
  <w15:chartTrackingRefBased/>
  <w15:docId w15:val="{9879E160-4519-4CBB-BC1C-D4118D71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22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6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2020-10-30T11:06:00Z</dcterms:created>
  <dcterms:modified xsi:type="dcterms:W3CDTF">2020-10-30T11:06:00Z</dcterms:modified>
</cp:coreProperties>
</file>