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6BD" w:rsidRPr="005166BD" w:rsidRDefault="005166BD" w:rsidP="005166BD">
      <w:pPr>
        <w:pStyle w:val="Listaszerbekezds"/>
        <w:numPr>
          <w:ilvl w:val="0"/>
          <w:numId w:val="2"/>
        </w:numPr>
        <w:spacing w:after="0" w:line="300" w:lineRule="exact"/>
        <w:rPr>
          <w:rFonts w:cstheme="minorHAnsi"/>
          <w:b/>
        </w:rPr>
      </w:pPr>
      <w:r>
        <w:rPr>
          <w:rFonts w:cstheme="minorHAnsi"/>
          <w:b/>
        </w:rPr>
        <w:t>f</w:t>
      </w:r>
      <w:r w:rsidRPr="005166BD">
        <w:rPr>
          <w:rFonts w:cstheme="minorHAnsi"/>
          <w:b/>
        </w:rPr>
        <w:t xml:space="preserve">üggelék a </w:t>
      </w:r>
      <w:r w:rsidR="002070BB">
        <w:rPr>
          <w:rFonts w:cstheme="minorHAnsi"/>
          <w:b/>
        </w:rPr>
        <w:t>3</w:t>
      </w:r>
      <w:bookmarkStart w:id="0" w:name="_GoBack"/>
      <w:bookmarkEnd w:id="0"/>
      <w:r w:rsidRPr="005166BD">
        <w:rPr>
          <w:rFonts w:cstheme="minorHAnsi"/>
          <w:b/>
          <w:lang w:bidi="hu-HU"/>
        </w:rPr>
        <w:t>/2019. (II.18.</w:t>
      </w:r>
      <w:proofErr w:type="gramStart"/>
      <w:r w:rsidRPr="005166BD">
        <w:rPr>
          <w:rFonts w:cstheme="minorHAnsi"/>
          <w:b/>
          <w:lang w:bidi="hu-HU"/>
        </w:rPr>
        <w:t>)  önkormányzati</w:t>
      </w:r>
      <w:proofErr w:type="gramEnd"/>
      <w:r w:rsidRPr="005166BD">
        <w:rPr>
          <w:rFonts w:cstheme="minorHAnsi"/>
          <w:b/>
          <w:lang w:bidi="hu-HU"/>
        </w:rPr>
        <w:t xml:space="preserve"> rendelethez</w:t>
      </w:r>
    </w:p>
    <w:p w:rsidR="005166BD" w:rsidRDefault="005166BD" w:rsidP="005166BD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</w:p>
    <w:p w:rsidR="005166BD" w:rsidRDefault="005166BD" w:rsidP="005166BD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  <w:r>
        <w:rPr>
          <w:rFonts w:eastAsia="Times New Roman" w:cstheme="minorHAnsi"/>
          <w:b/>
          <w:color w:val="000000"/>
          <w:kern w:val="36"/>
          <w:lang w:eastAsia="hu-HU"/>
        </w:rPr>
        <w:t>Kerülendő inváziós növényfajok</w:t>
      </w:r>
    </w:p>
    <w:p w:rsidR="005166BD" w:rsidRDefault="005166BD" w:rsidP="005166B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166BD" w:rsidRDefault="005166BD" w:rsidP="005166B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Az adventív fajok ellenőrizhetetlen mértékű szaporodásukkal a növényzet összetételében, a települési és természetes zöldfelületekben óriási károkat okoznak, terjeszkedésük meg nem állítható. Ide sorolható pl. a bálványfa </w:t>
      </w:r>
      <w:r>
        <w:rPr>
          <w:rFonts w:eastAsia="Times New Roman" w:cstheme="minorHAnsi"/>
          <w:i/>
          <w:iCs/>
          <w:lang w:eastAsia="hu-HU"/>
        </w:rPr>
        <w:t>(</w:t>
      </w:r>
      <w:proofErr w:type="spellStart"/>
      <w:r>
        <w:rPr>
          <w:rFonts w:eastAsia="Times New Roman" w:cstheme="minorHAnsi"/>
          <w:i/>
          <w:iCs/>
          <w:lang w:eastAsia="hu-HU"/>
        </w:rPr>
        <w:t>Ailanthus</w:t>
      </w:r>
      <w:proofErr w:type="spellEnd"/>
      <w:r>
        <w:rPr>
          <w:rFonts w:eastAsia="Times New Roman" w:cstheme="minorHAnsi"/>
          <w:i/>
          <w:iCs/>
          <w:lang w:eastAsia="hu-HU"/>
        </w:rPr>
        <w:t xml:space="preserve"> </w:t>
      </w:r>
      <w:proofErr w:type="spellStart"/>
      <w:r>
        <w:rPr>
          <w:rFonts w:eastAsia="Times New Roman" w:cstheme="minorHAnsi"/>
          <w:i/>
          <w:iCs/>
          <w:lang w:eastAsia="hu-HU"/>
        </w:rPr>
        <w:t>altissima</w:t>
      </w:r>
      <w:proofErr w:type="spellEnd"/>
      <w:r>
        <w:rPr>
          <w:rFonts w:eastAsia="Times New Roman" w:cstheme="minorHAnsi"/>
          <w:i/>
          <w:iCs/>
          <w:lang w:eastAsia="hu-HU"/>
        </w:rPr>
        <w:t>)</w:t>
      </w:r>
      <w:r>
        <w:rPr>
          <w:rFonts w:eastAsia="Times New Roman" w:cstheme="minorHAnsi"/>
          <w:lang w:eastAsia="hu-HU"/>
        </w:rPr>
        <w:t>, gyalogakác </w:t>
      </w:r>
      <w:r>
        <w:rPr>
          <w:rFonts w:eastAsia="Times New Roman" w:cstheme="minorHAnsi"/>
          <w:i/>
          <w:iCs/>
          <w:lang w:eastAsia="hu-HU"/>
        </w:rPr>
        <w:t>(</w:t>
      </w:r>
      <w:proofErr w:type="spellStart"/>
      <w:r>
        <w:rPr>
          <w:rFonts w:eastAsia="Times New Roman" w:cstheme="minorHAnsi"/>
          <w:i/>
          <w:iCs/>
          <w:lang w:eastAsia="hu-HU"/>
        </w:rPr>
        <w:t>Amorpha</w:t>
      </w:r>
      <w:proofErr w:type="spellEnd"/>
      <w:r>
        <w:rPr>
          <w:rFonts w:eastAsia="Times New Roman" w:cstheme="minorHAnsi"/>
          <w:i/>
          <w:iCs/>
          <w:lang w:eastAsia="hu-HU"/>
        </w:rPr>
        <w:t xml:space="preserve"> </w:t>
      </w:r>
      <w:proofErr w:type="spellStart"/>
      <w:r>
        <w:rPr>
          <w:rFonts w:eastAsia="Times New Roman" w:cstheme="minorHAnsi"/>
          <w:i/>
          <w:iCs/>
          <w:lang w:eastAsia="hu-HU"/>
        </w:rPr>
        <w:t>fruticosa</w:t>
      </w:r>
      <w:proofErr w:type="spellEnd"/>
      <w:r>
        <w:rPr>
          <w:rFonts w:eastAsia="Times New Roman" w:cstheme="minorHAnsi"/>
          <w:i/>
          <w:iCs/>
          <w:lang w:eastAsia="hu-HU"/>
        </w:rPr>
        <w:t>)</w:t>
      </w:r>
      <w:r>
        <w:rPr>
          <w:rFonts w:eastAsia="Times New Roman" w:cstheme="minorHAnsi"/>
          <w:lang w:eastAsia="hu-HU"/>
        </w:rPr>
        <w:t>, akác </w:t>
      </w:r>
      <w:r>
        <w:rPr>
          <w:rFonts w:eastAsia="Times New Roman" w:cstheme="minorHAnsi"/>
          <w:i/>
          <w:iCs/>
          <w:lang w:eastAsia="hu-HU"/>
        </w:rPr>
        <w:t>(</w:t>
      </w:r>
      <w:proofErr w:type="spellStart"/>
      <w:r>
        <w:rPr>
          <w:rFonts w:eastAsia="Times New Roman" w:cstheme="minorHAnsi"/>
          <w:i/>
          <w:iCs/>
          <w:lang w:eastAsia="hu-HU"/>
        </w:rPr>
        <w:t>Robinia</w:t>
      </w:r>
      <w:proofErr w:type="spellEnd"/>
      <w:r>
        <w:rPr>
          <w:rFonts w:eastAsia="Times New Roman" w:cstheme="minorHAnsi"/>
          <w:i/>
          <w:iCs/>
          <w:lang w:eastAsia="hu-HU"/>
        </w:rPr>
        <w:t xml:space="preserve"> </w:t>
      </w:r>
      <w:proofErr w:type="spellStart"/>
      <w:r>
        <w:rPr>
          <w:rFonts w:eastAsia="Times New Roman" w:cstheme="minorHAnsi"/>
          <w:i/>
          <w:iCs/>
          <w:lang w:eastAsia="hu-HU"/>
        </w:rPr>
        <w:t>pseudo-acacia</w:t>
      </w:r>
      <w:proofErr w:type="spellEnd"/>
      <w:r>
        <w:rPr>
          <w:rFonts w:eastAsia="Times New Roman" w:cstheme="minorHAnsi"/>
          <w:i/>
          <w:iCs/>
          <w:lang w:eastAsia="hu-HU"/>
        </w:rPr>
        <w:t>)</w:t>
      </w:r>
      <w:r>
        <w:rPr>
          <w:rFonts w:eastAsia="Times New Roman" w:cstheme="minorHAnsi"/>
          <w:lang w:eastAsia="hu-HU"/>
        </w:rPr>
        <w:t>, aranyvessző </w:t>
      </w:r>
      <w:r>
        <w:rPr>
          <w:rFonts w:eastAsia="Times New Roman" w:cstheme="minorHAnsi"/>
          <w:i/>
          <w:iCs/>
          <w:lang w:eastAsia="hu-HU"/>
        </w:rPr>
        <w:t>(</w:t>
      </w:r>
      <w:proofErr w:type="spellStart"/>
      <w:r>
        <w:rPr>
          <w:rFonts w:eastAsia="Times New Roman" w:cstheme="minorHAnsi"/>
          <w:i/>
          <w:iCs/>
          <w:lang w:eastAsia="hu-HU"/>
        </w:rPr>
        <w:t>Solidago</w:t>
      </w:r>
      <w:proofErr w:type="spellEnd"/>
      <w:r>
        <w:rPr>
          <w:rFonts w:eastAsia="Times New Roman" w:cstheme="minorHAnsi"/>
          <w:i/>
          <w:iCs/>
          <w:lang w:eastAsia="hu-HU"/>
        </w:rPr>
        <w:t xml:space="preserve"> </w:t>
      </w:r>
      <w:proofErr w:type="spellStart"/>
      <w:r>
        <w:rPr>
          <w:rFonts w:eastAsia="Times New Roman" w:cstheme="minorHAnsi"/>
          <w:i/>
          <w:iCs/>
          <w:lang w:eastAsia="hu-HU"/>
        </w:rPr>
        <w:t>canadensis</w:t>
      </w:r>
      <w:proofErr w:type="spellEnd"/>
      <w:r>
        <w:rPr>
          <w:rFonts w:eastAsia="Times New Roman" w:cstheme="minorHAnsi"/>
          <w:i/>
          <w:iCs/>
          <w:lang w:eastAsia="hu-HU"/>
        </w:rPr>
        <w:t xml:space="preserve">, S. </w:t>
      </w:r>
      <w:proofErr w:type="spellStart"/>
      <w:r>
        <w:rPr>
          <w:rFonts w:eastAsia="Times New Roman" w:cstheme="minorHAnsi"/>
          <w:i/>
          <w:iCs/>
          <w:lang w:eastAsia="hu-HU"/>
        </w:rPr>
        <w:t>gigantea</w:t>
      </w:r>
      <w:proofErr w:type="spellEnd"/>
      <w:r>
        <w:rPr>
          <w:rFonts w:eastAsia="Times New Roman" w:cstheme="minorHAnsi"/>
          <w:i/>
          <w:iCs/>
          <w:lang w:eastAsia="hu-HU"/>
        </w:rPr>
        <w:t>)</w:t>
      </w:r>
      <w:r>
        <w:rPr>
          <w:rFonts w:eastAsia="Times New Roman" w:cstheme="minorHAnsi"/>
          <w:lang w:eastAsia="hu-HU"/>
        </w:rPr>
        <w:t>, ezüstfa </w:t>
      </w:r>
      <w:r>
        <w:rPr>
          <w:rFonts w:eastAsia="Times New Roman" w:cstheme="minorHAnsi"/>
          <w:i/>
          <w:iCs/>
          <w:lang w:eastAsia="hu-HU"/>
        </w:rPr>
        <w:t>(</w:t>
      </w:r>
      <w:proofErr w:type="spellStart"/>
      <w:r>
        <w:rPr>
          <w:rFonts w:eastAsia="Times New Roman" w:cstheme="minorHAnsi"/>
          <w:i/>
          <w:iCs/>
          <w:lang w:eastAsia="hu-HU"/>
        </w:rPr>
        <w:t>Elaeagnus</w:t>
      </w:r>
      <w:proofErr w:type="spellEnd"/>
      <w:r>
        <w:rPr>
          <w:rFonts w:eastAsia="Times New Roman" w:cstheme="minorHAnsi"/>
          <w:i/>
          <w:iCs/>
          <w:lang w:eastAsia="hu-HU"/>
        </w:rPr>
        <w:t xml:space="preserve"> </w:t>
      </w:r>
      <w:proofErr w:type="spellStart"/>
      <w:r>
        <w:rPr>
          <w:rFonts w:eastAsia="Times New Roman" w:cstheme="minorHAnsi"/>
          <w:i/>
          <w:iCs/>
          <w:lang w:eastAsia="hu-HU"/>
        </w:rPr>
        <w:t>angustifolia</w:t>
      </w:r>
      <w:proofErr w:type="spellEnd"/>
      <w:r>
        <w:rPr>
          <w:rFonts w:eastAsia="Times New Roman" w:cstheme="minorHAnsi"/>
          <w:i/>
          <w:iCs/>
          <w:lang w:eastAsia="hu-HU"/>
        </w:rPr>
        <w:t>)</w:t>
      </w:r>
      <w:r>
        <w:rPr>
          <w:rFonts w:eastAsia="Times New Roman" w:cstheme="minorHAnsi"/>
          <w:lang w:eastAsia="hu-HU"/>
        </w:rPr>
        <w:t>, selyemkóró </w:t>
      </w:r>
      <w:r>
        <w:rPr>
          <w:rFonts w:eastAsia="Times New Roman" w:cstheme="minorHAnsi"/>
          <w:i/>
          <w:iCs/>
          <w:lang w:eastAsia="hu-HU"/>
        </w:rPr>
        <w:t>(</w:t>
      </w:r>
      <w:proofErr w:type="spellStart"/>
      <w:r>
        <w:rPr>
          <w:rFonts w:eastAsia="Times New Roman" w:cstheme="minorHAnsi"/>
          <w:i/>
          <w:iCs/>
          <w:lang w:eastAsia="hu-HU"/>
        </w:rPr>
        <w:t>Asclepias</w:t>
      </w:r>
      <w:proofErr w:type="spellEnd"/>
      <w:r>
        <w:rPr>
          <w:rFonts w:eastAsia="Times New Roman" w:cstheme="minorHAnsi"/>
          <w:i/>
          <w:iCs/>
          <w:lang w:eastAsia="hu-HU"/>
        </w:rPr>
        <w:t xml:space="preserve"> </w:t>
      </w:r>
      <w:proofErr w:type="spellStart"/>
      <w:r>
        <w:rPr>
          <w:rFonts w:eastAsia="Times New Roman" w:cstheme="minorHAnsi"/>
          <w:i/>
          <w:iCs/>
          <w:lang w:eastAsia="hu-HU"/>
        </w:rPr>
        <w:t>syriaca</w:t>
      </w:r>
      <w:proofErr w:type="spellEnd"/>
      <w:r>
        <w:rPr>
          <w:rFonts w:eastAsia="Times New Roman" w:cstheme="minorHAnsi"/>
          <w:i/>
          <w:iCs/>
          <w:lang w:eastAsia="hu-HU"/>
        </w:rPr>
        <w:t>)</w:t>
      </w:r>
      <w:r>
        <w:rPr>
          <w:rFonts w:eastAsia="Times New Roman" w:cstheme="minorHAnsi"/>
          <w:lang w:eastAsia="hu-HU"/>
        </w:rPr>
        <w:t>.</w:t>
      </w:r>
    </w:p>
    <w:p w:rsidR="005166BD" w:rsidRDefault="005166BD" w:rsidP="005166B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166BD" w:rsidRDefault="005166BD" w:rsidP="005166B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Idegenhonos inváziós növényfajok:</w:t>
      </w:r>
    </w:p>
    <w:p w:rsidR="005166BD" w:rsidRDefault="005166BD" w:rsidP="005166B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Magyar név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Borfa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>, tengerparti seprűcserje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Baccharis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halimifolia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Kaliforniai tündérhínár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Cabomba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caroliniana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Vízijácint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Eichhornia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crassipes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Perzsa medvetalp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Heracleum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persicum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Sosnowsky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>-medvetalp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Heracleum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sosnowskyi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Hévízi gázló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Hydrocotyle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ranunculoides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Fodros átokhínár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Lagarosiphon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major</w:t>
            </w:r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Nagyvirágú tóalma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Ludwigia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grandiflora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Sárgavirágú tóalma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Ludwigia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peploides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Sárga lápbuzogány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Lysichiton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americanus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Közönséges süllőhínár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Myriophyllum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aquaticum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Keserű hamisüröm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Parthenium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hysterophorus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Ördögfarok keserűfű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Persicaria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perfoliata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Kudzu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nyílgyökér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Pueraria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montana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var.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lobata</w:t>
            </w:r>
            <w:proofErr w:type="spellEnd"/>
          </w:p>
        </w:tc>
      </w:tr>
    </w:tbl>
    <w:p w:rsidR="005166BD" w:rsidRDefault="005166BD" w:rsidP="005166BD">
      <w:pPr>
        <w:spacing w:after="0" w:line="240" w:lineRule="auto"/>
        <w:rPr>
          <w:rFonts w:eastAsia="Times New Roman" w:cstheme="minorHAnsi"/>
          <w:lang w:eastAsia="hu-HU"/>
        </w:rPr>
      </w:pPr>
    </w:p>
    <w:p w:rsidR="005166BD" w:rsidRDefault="005166BD" w:rsidP="005166BD">
      <w:pPr>
        <w:spacing w:after="0" w:line="240" w:lineRule="auto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Várhatóan az alábbi fajokkal fog bővülni a lista:</w:t>
      </w:r>
    </w:p>
    <w:p w:rsidR="005166BD" w:rsidRDefault="005166BD" w:rsidP="005166BD">
      <w:pPr>
        <w:spacing w:after="0" w:line="240" w:lineRule="auto"/>
        <w:rPr>
          <w:rFonts w:eastAsia="Times New Roman" w:cstheme="minorHAnsi"/>
          <w:lang w:eastAsia="hu-HU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Magyar név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Közönséges selyemkóró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Asclepias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syriaca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Vékonylevelű átokhínár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Elodea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nuttallii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Bíbor nebáncsvirág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Impatiens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glandulifera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Felemáslevelű süllőhínár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Myriophyllum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heterophyllum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Kaukázusi medvetalp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Heracleum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mantegazzianum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Óriásrebarbara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Gunnera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tinctoria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Tollborzfű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Pennisetum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setaceum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Alternanthera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philoxeroides</w:t>
            </w:r>
            <w:proofErr w:type="spellEnd"/>
          </w:p>
        </w:tc>
      </w:tr>
      <w:tr w:rsidR="005166BD" w:rsidTr="005166BD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Microstegium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vimineum</w:t>
            </w:r>
            <w:proofErr w:type="spellEnd"/>
          </w:p>
        </w:tc>
      </w:tr>
    </w:tbl>
    <w:p w:rsidR="005166BD" w:rsidRDefault="005166BD" w:rsidP="005166BD">
      <w:pPr>
        <w:spacing w:after="0" w:line="240" w:lineRule="auto"/>
        <w:rPr>
          <w:rFonts w:eastAsia="Times New Roman" w:cstheme="minorHAnsi"/>
          <w:lang w:eastAsia="hu-HU"/>
        </w:rPr>
      </w:pPr>
    </w:p>
    <w:p w:rsidR="005166BD" w:rsidRDefault="005166BD" w:rsidP="005166B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>
        <w:rPr>
          <w:rFonts w:eastAsia="Times New Roman" w:cstheme="minorHAnsi"/>
          <w:lang w:eastAsia="hu-HU"/>
        </w:rPr>
        <w:br w:type="page"/>
      </w:r>
    </w:p>
    <w:p w:rsidR="005166BD" w:rsidRDefault="005166BD" w:rsidP="005166BD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5166BD" w:rsidRDefault="005166BD" w:rsidP="005166B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A </w:t>
      </w:r>
      <w:proofErr w:type="spellStart"/>
      <w:r>
        <w:rPr>
          <w:rFonts w:eastAsia="Times New Roman" w:cstheme="minorHAnsi"/>
          <w:lang w:eastAsia="hu-HU"/>
        </w:rPr>
        <w:t>Natura</w:t>
      </w:r>
      <w:proofErr w:type="spellEnd"/>
      <w:r>
        <w:rPr>
          <w:rFonts w:eastAsia="Times New Roman" w:cstheme="minorHAnsi"/>
          <w:lang w:eastAsia="hu-HU"/>
        </w:rPr>
        <w:t xml:space="preserve"> 2000 gyepterületeken az alábbi növényfajok megtelepedését és terjedését meg kell akadályozni, állományuk visszaszorításáról gondoskodni kell mechanikus védekezéssel vagy speciális növényvédőszer-kijuttatással.</w:t>
      </w:r>
    </w:p>
    <w:p w:rsidR="005166BD" w:rsidRDefault="005166BD" w:rsidP="005166B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166BD" w:rsidRDefault="005166BD" w:rsidP="005166BD">
      <w:pPr>
        <w:spacing w:before="60" w:after="20" w:line="240" w:lineRule="auto"/>
        <w:ind w:firstLine="38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1. Fásszárú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5872"/>
      </w:tblGrid>
      <w:tr w:rsidR="005166BD" w:rsidTr="005166BD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60" w:after="20" w:line="240" w:lineRule="auto"/>
              <w:jc w:val="center"/>
              <w:rPr>
                <w:rFonts w:eastAsia="Times New Roman" w:cstheme="minorHAnsi"/>
                <w:b/>
                <w:lang w:eastAsia="hu-HU"/>
              </w:rPr>
            </w:pPr>
            <w:r>
              <w:rPr>
                <w:rFonts w:eastAsia="Times New Roman" w:cstheme="minorHAnsi"/>
                <w:b/>
                <w:lang w:eastAsia="hu-HU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60" w:after="20" w:line="240" w:lineRule="auto"/>
              <w:jc w:val="center"/>
              <w:rPr>
                <w:rFonts w:eastAsia="Times New Roman" w:cstheme="minorHAnsi"/>
                <w:b/>
                <w:lang w:eastAsia="hu-HU"/>
              </w:rPr>
            </w:pPr>
            <w:r>
              <w:rPr>
                <w:rFonts w:eastAsia="Times New Roman" w:cstheme="minorHAnsi"/>
                <w:b/>
                <w:lang w:eastAsia="hu-HU"/>
              </w:rPr>
              <w:t>Tudományos név</w:t>
            </w:r>
          </w:p>
        </w:tc>
      </w:tr>
      <w:tr w:rsidR="005166BD" w:rsidTr="005166BD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akác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Robinia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pseudo-acacia</w:t>
            </w:r>
            <w:proofErr w:type="spellEnd"/>
          </w:p>
        </w:tc>
      </w:tr>
      <w:tr w:rsidR="005166BD" w:rsidTr="005166BD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amerikai kőris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Fraxinus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americana</w:t>
            </w:r>
            <w:proofErr w:type="spellEnd"/>
          </w:p>
        </w:tc>
      </w:tr>
      <w:tr w:rsidR="005166BD" w:rsidTr="005166BD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bálványfa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Ailanthus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altissima</w:t>
            </w:r>
            <w:proofErr w:type="spellEnd"/>
          </w:p>
        </w:tc>
      </w:tr>
      <w:tr w:rsidR="005166BD" w:rsidTr="005166BD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keskenylevelű ezüstfa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Elaeagnus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angustifolia</w:t>
            </w:r>
            <w:proofErr w:type="spellEnd"/>
          </w:p>
        </w:tc>
      </w:tr>
      <w:tr w:rsidR="005166BD" w:rsidTr="005166BD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fekete fenyő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Pinus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nigra</w:t>
            </w:r>
            <w:proofErr w:type="spellEnd"/>
          </w:p>
        </w:tc>
      </w:tr>
      <w:tr w:rsidR="005166BD" w:rsidTr="005166BD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erdei fenyő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Pinus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silvestris</w:t>
            </w:r>
            <w:proofErr w:type="spellEnd"/>
          </w:p>
        </w:tc>
      </w:tr>
      <w:tr w:rsidR="005166BD" w:rsidTr="005166BD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gyalogakác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Amorpha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fruticosa</w:t>
            </w:r>
            <w:proofErr w:type="spellEnd"/>
          </w:p>
        </w:tc>
      </w:tr>
      <w:tr w:rsidR="005166BD" w:rsidTr="005166BD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kései meggy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Prunus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serotina</w:t>
            </w:r>
            <w:proofErr w:type="spellEnd"/>
          </w:p>
        </w:tc>
      </w:tr>
      <w:tr w:rsidR="005166BD" w:rsidTr="005166BD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zöld juhar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Acer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negundo</w:t>
            </w:r>
            <w:proofErr w:type="spellEnd"/>
          </w:p>
        </w:tc>
      </w:tr>
    </w:tbl>
    <w:p w:rsidR="005166BD" w:rsidRDefault="005166BD" w:rsidP="005166BD">
      <w:pPr>
        <w:spacing w:before="60" w:after="20" w:line="240" w:lineRule="auto"/>
        <w:ind w:firstLine="380"/>
        <w:rPr>
          <w:rFonts w:eastAsia="Times New Roman" w:cstheme="minorHAnsi"/>
          <w:lang w:eastAsia="hu-HU"/>
        </w:rPr>
      </w:pPr>
    </w:p>
    <w:p w:rsidR="005166BD" w:rsidRDefault="005166BD" w:rsidP="005166BD">
      <w:pPr>
        <w:spacing w:before="60" w:after="20" w:line="240" w:lineRule="auto"/>
        <w:ind w:firstLine="38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5872"/>
      </w:tblGrid>
      <w:tr w:rsidR="005166BD" w:rsidTr="005166BD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60" w:after="20" w:line="240" w:lineRule="auto"/>
              <w:jc w:val="center"/>
              <w:rPr>
                <w:rFonts w:eastAsia="Times New Roman" w:cstheme="minorHAnsi"/>
                <w:b/>
                <w:lang w:eastAsia="hu-HU"/>
              </w:rPr>
            </w:pPr>
            <w:r>
              <w:rPr>
                <w:rFonts w:eastAsia="Times New Roman" w:cstheme="minorHAnsi"/>
                <w:b/>
                <w:lang w:eastAsia="hu-HU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60" w:after="20" w:line="240" w:lineRule="auto"/>
              <w:jc w:val="center"/>
              <w:rPr>
                <w:rFonts w:eastAsia="Times New Roman" w:cstheme="minorHAnsi"/>
                <w:b/>
                <w:lang w:eastAsia="hu-HU"/>
              </w:rPr>
            </w:pPr>
            <w:r>
              <w:rPr>
                <w:rFonts w:eastAsia="Times New Roman" w:cstheme="minorHAnsi"/>
                <w:b/>
                <w:lang w:eastAsia="hu-HU"/>
              </w:rPr>
              <w:t>Tudományos név</w:t>
            </w:r>
          </w:p>
        </w:tc>
      </w:tr>
      <w:tr w:rsidR="005166BD" w:rsidTr="005166BD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Phytolacca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americana</w:t>
            </w:r>
            <w:proofErr w:type="spellEnd"/>
          </w:p>
        </w:tc>
      </w:tr>
      <w:tr w:rsidR="005166BD" w:rsidTr="005166BD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japánkeserűfű fajok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Fallopia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spp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>.</w:t>
            </w:r>
          </w:p>
        </w:tc>
      </w:tr>
      <w:tr w:rsidR="005166BD" w:rsidTr="005166BD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Solidago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5166BD" w:rsidTr="005166BD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Solidago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gigantea</w:t>
            </w:r>
            <w:proofErr w:type="spellEnd"/>
          </w:p>
        </w:tc>
      </w:tr>
      <w:tr w:rsidR="005166BD" w:rsidTr="005166BD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Ambrosia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artemisifolia</w:t>
            </w:r>
            <w:proofErr w:type="spellEnd"/>
          </w:p>
        </w:tc>
      </w:tr>
      <w:tr w:rsidR="005166BD" w:rsidTr="005166BD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Asclepias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syriaca</w:t>
            </w:r>
            <w:proofErr w:type="spellEnd"/>
          </w:p>
        </w:tc>
      </w:tr>
      <w:tr w:rsidR="005166BD" w:rsidTr="005166BD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66BD" w:rsidRDefault="005166B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Echinocystis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lobata</w:t>
            </w:r>
            <w:proofErr w:type="spellEnd"/>
          </w:p>
        </w:tc>
      </w:tr>
    </w:tbl>
    <w:p w:rsidR="005166BD" w:rsidRDefault="005166BD" w:rsidP="005166BD">
      <w:pPr>
        <w:spacing w:after="0" w:line="240" w:lineRule="auto"/>
        <w:jc w:val="center"/>
        <w:rPr>
          <w:rFonts w:eastAsia="Times New Roman" w:cstheme="minorHAnsi"/>
          <w:lang w:eastAsia="hu-HU"/>
        </w:rPr>
      </w:pPr>
    </w:p>
    <w:p w:rsidR="005166BD" w:rsidRDefault="005166BD" w:rsidP="005166BD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166BD" w:rsidRDefault="005166BD" w:rsidP="005166B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A földhasználó és a termelő köteles védekezni az alábbi növények ellen: parlagfű (</w:t>
      </w:r>
      <w:proofErr w:type="spellStart"/>
      <w:r>
        <w:rPr>
          <w:rFonts w:eastAsia="Times New Roman" w:cstheme="minorHAnsi"/>
          <w:lang w:eastAsia="hu-HU"/>
        </w:rPr>
        <w:t>Ambrosia</w:t>
      </w:r>
      <w:proofErr w:type="spellEnd"/>
      <w:r>
        <w:rPr>
          <w:rFonts w:eastAsia="Times New Roman" w:cstheme="minorHAnsi"/>
          <w:lang w:eastAsia="hu-HU"/>
        </w:rPr>
        <w:t xml:space="preserve"> </w:t>
      </w:r>
      <w:proofErr w:type="spellStart"/>
      <w:r>
        <w:rPr>
          <w:rFonts w:eastAsia="Times New Roman" w:cstheme="minorHAnsi"/>
          <w:lang w:eastAsia="hu-HU"/>
        </w:rPr>
        <w:t>artemisiifolia</w:t>
      </w:r>
      <w:proofErr w:type="spellEnd"/>
      <w:r>
        <w:rPr>
          <w:rFonts w:eastAsia="Times New Roman" w:cstheme="minorHAnsi"/>
          <w:lang w:eastAsia="hu-HU"/>
        </w:rPr>
        <w:t>), keserű csucsor (</w:t>
      </w:r>
      <w:proofErr w:type="spellStart"/>
      <w:r>
        <w:rPr>
          <w:rFonts w:eastAsia="Times New Roman" w:cstheme="minorHAnsi"/>
          <w:lang w:eastAsia="hu-HU"/>
        </w:rPr>
        <w:t>Solanum</w:t>
      </w:r>
      <w:proofErr w:type="spellEnd"/>
      <w:r>
        <w:rPr>
          <w:rFonts w:eastAsia="Times New Roman" w:cstheme="minorHAnsi"/>
          <w:lang w:eastAsia="hu-HU"/>
        </w:rPr>
        <w:t xml:space="preserve"> </w:t>
      </w:r>
      <w:proofErr w:type="spellStart"/>
      <w:r>
        <w:rPr>
          <w:rFonts w:eastAsia="Times New Roman" w:cstheme="minorHAnsi"/>
          <w:lang w:eastAsia="hu-HU"/>
        </w:rPr>
        <w:t>dulcamara</w:t>
      </w:r>
      <w:proofErr w:type="spellEnd"/>
      <w:r>
        <w:rPr>
          <w:rFonts w:eastAsia="Times New Roman" w:cstheme="minorHAnsi"/>
          <w:lang w:eastAsia="hu-HU"/>
        </w:rPr>
        <w:t>), selyemkóró (</w:t>
      </w:r>
      <w:proofErr w:type="spellStart"/>
      <w:r>
        <w:rPr>
          <w:rFonts w:eastAsia="Times New Roman" w:cstheme="minorHAnsi"/>
          <w:lang w:eastAsia="hu-HU"/>
        </w:rPr>
        <w:t>Asclepias</w:t>
      </w:r>
      <w:proofErr w:type="spellEnd"/>
      <w:r>
        <w:rPr>
          <w:rFonts w:eastAsia="Times New Roman" w:cstheme="minorHAnsi"/>
          <w:lang w:eastAsia="hu-HU"/>
        </w:rPr>
        <w:t xml:space="preserve"> </w:t>
      </w:r>
      <w:proofErr w:type="spellStart"/>
      <w:r>
        <w:rPr>
          <w:rFonts w:eastAsia="Times New Roman" w:cstheme="minorHAnsi"/>
          <w:lang w:eastAsia="hu-HU"/>
        </w:rPr>
        <w:t>syriaca</w:t>
      </w:r>
      <w:proofErr w:type="spellEnd"/>
      <w:r>
        <w:rPr>
          <w:rFonts w:eastAsia="Times New Roman" w:cstheme="minorHAnsi"/>
          <w:lang w:eastAsia="hu-HU"/>
        </w:rPr>
        <w:t>), aranka fajok (</w:t>
      </w:r>
      <w:proofErr w:type="spellStart"/>
      <w:r>
        <w:rPr>
          <w:rFonts w:eastAsia="Times New Roman" w:cstheme="minorHAnsi"/>
          <w:lang w:eastAsia="hu-HU"/>
        </w:rPr>
        <w:t>Cuscuta</w:t>
      </w:r>
      <w:proofErr w:type="spellEnd"/>
      <w:r>
        <w:rPr>
          <w:rFonts w:eastAsia="Times New Roman" w:cstheme="minorHAnsi"/>
          <w:lang w:eastAsia="hu-HU"/>
        </w:rPr>
        <w:t xml:space="preserve"> </w:t>
      </w:r>
      <w:proofErr w:type="spellStart"/>
      <w:r>
        <w:rPr>
          <w:rFonts w:eastAsia="Times New Roman" w:cstheme="minorHAnsi"/>
          <w:lang w:eastAsia="hu-HU"/>
        </w:rPr>
        <w:t>spp</w:t>
      </w:r>
      <w:proofErr w:type="spellEnd"/>
      <w:r>
        <w:rPr>
          <w:rFonts w:eastAsia="Times New Roman" w:cstheme="minorHAnsi"/>
          <w:lang w:eastAsia="hu-HU"/>
        </w:rPr>
        <w:t>.).</w:t>
      </w:r>
    </w:p>
    <w:p w:rsidR="00CD360C" w:rsidRDefault="00CD360C"/>
    <w:sectPr w:rsidR="00CD360C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306F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§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B3B"/>
    <w:multiLevelType w:val="hybridMultilevel"/>
    <w:tmpl w:val="12628ACE"/>
    <w:lvl w:ilvl="0" w:tplc="EEAA990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BD"/>
    <w:rsid w:val="002070BB"/>
    <w:rsid w:val="004B4FF2"/>
    <w:rsid w:val="005166BD"/>
    <w:rsid w:val="00CD360C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B5AC"/>
  <w15:chartTrackingRefBased/>
  <w15:docId w15:val="{7E302545-C48E-4E09-A771-B134A02F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66B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4</cp:revision>
  <dcterms:created xsi:type="dcterms:W3CDTF">2019-02-19T13:07:00Z</dcterms:created>
  <dcterms:modified xsi:type="dcterms:W3CDTF">2019-02-19T13:27:00Z</dcterms:modified>
</cp:coreProperties>
</file>