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43DEB" w14:textId="77777777" w:rsidR="00877AB5" w:rsidRPr="006D2247" w:rsidRDefault="00877AB5" w:rsidP="00877AB5">
      <w:pPr>
        <w:jc w:val="center"/>
        <w:rPr>
          <w:rFonts w:ascii="Cambria" w:hAnsi="Cambria"/>
          <w:b/>
          <w:bCs/>
          <w:sz w:val="26"/>
          <w:szCs w:val="26"/>
        </w:rPr>
      </w:pPr>
      <w:r w:rsidRPr="006D2247">
        <w:rPr>
          <w:rFonts w:ascii="Cambria" w:hAnsi="Cambria"/>
          <w:b/>
          <w:bCs/>
          <w:sz w:val="26"/>
          <w:szCs w:val="26"/>
        </w:rPr>
        <w:t>INDOKOLÁS</w:t>
      </w:r>
    </w:p>
    <w:p w14:paraId="27381FC3" w14:textId="77777777" w:rsidR="00877AB5" w:rsidRDefault="00877AB5" w:rsidP="00877AB5">
      <w:pPr>
        <w:jc w:val="center"/>
        <w:rPr>
          <w:rFonts w:ascii="Cambria" w:hAnsi="Cambria"/>
          <w:b/>
          <w:bCs/>
          <w:sz w:val="26"/>
          <w:szCs w:val="26"/>
        </w:rPr>
      </w:pPr>
      <w:r w:rsidRPr="006D2247">
        <w:rPr>
          <w:rFonts w:ascii="Cambria" w:hAnsi="Cambria"/>
          <w:b/>
          <w:bCs/>
          <w:sz w:val="26"/>
          <w:szCs w:val="26"/>
        </w:rPr>
        <w:t xml:space="preserve">Paszab Község Önkormányzat Polgármesterének </w:t>
      </w:r>
    </w:p>
    <w:p w14:paraId="2F2748F1" w14:textId="5BBBE714" w:rsidR="00877AB5" w:rsidRPr="00BF0304" w:rsidRDefault="004F3AE8" w:rsidP="00877AB5">
      <w:pPr>
        <w:jc w:val="center"/>
        <w:rPr>
          <w:rFonts w:ascii="Cambria" w:hAnsi="Cambria"/>
          <w:b/>
          <w:sz w:val="26"/>
          <w:szCs w:val="26"/>
        </w:rPr>
      </w:pPr>
      <w:r>
        <w:rPr>
          <w:rFonts w:ascii="Cambria" w:hAnsi="Cambria"/>
          <w:b/>
          <w:sz w:val="26"/>
          <w:szCs w:val="26"/>
        </w:rPr>
        <w:t xml:space="preserve">a települési támogatásokról szóló 13/2019.(XII.18.) </w:t>
      </w:r>
      <w:r w:rsidR="00877AB5">
        <w:rPr>
          <w:rFonts w:ascii="Cambria" w:hAnsi="Cambria"/>
          <w:b/>
          <w:sz w:val="26"/>
          <w:szCs w:val="26"/>
        </w:rPr>
        <w:t xml:space="preserve">önkormányzati rendelet </w:t>
      </w:r>
      <w:r>
        <w:rPr>
          <w:rFonts w:ascii="Cambria" w:hAnsi="Cambria"/>
          <w:b/>
          <w:sz w:val="26"/>
          <w:szCs w:val="26"/>
        </w:rPr>
        <w:t>módosításáról</w:t>
      </w:r>
      <w:r w:rsidR="00877AB5">
        <w:rPr>
          <w:rFonts w:ascii="Cambria" w:hAnsi="Cambria"/>
          <w:b/>
          <w:sz w:val="26"/>
          <w:szCs w:val="26"/>
        </w:rPr>
        <w:t xml:space="preserve"> című </w:t>
      </w:r>
      <w:r w:rsidR="00F00D7C">
        <w:rPr>
          <w:rFonts w:ascii="Cambria" w:hAnsi="Cambria"/>
          <w:b/>
          <w:sz w:val="26"/>
          <w:szCs w:val="26"/>
        </w:rPr>
        <w:t>6/2021.(III.17.)</w:t>
      </w:r>
      <w:r w:rsidR="00877AB5" w:rsidRPr="00BF0304">
        <w:rPr>
          <w:rFonts w:ascii="Cambria" w:hAnsi="Cambria"/>
          <w:b/>
          <w:sz w:val="26"/>
          <w:szCs w:val="26"/>
        </w:rPr>
        <w:t xml:space="preserve"> önkormányzati rendelet</w:t>
      </w:r>
      <w:r w:rsidR="00877AB5">
        <w:rPr>
          <w:rFonts w:ascii="Cambria" w:hAnsi="Cambria"/>
          <w:b/>
          <w:sz w:val="26"/>
          <w:szCs w:val="26"/>
        </w:rPr>
        <w:t>éhez</w:t>
      </w:r>
    </w:p>
    <w:p w14:paraId="3E1360BD" w14:textId="6DCF8B87" w:rsidR="00877AB5" w:rsidRDefault="00877AB5" w:rsidP="00877AB5">
      <w:pPr>
        <w:jc w:val="both"/>
        <w:rPr>
          <w:rFonts w:ascii="Cambria" w:hAnsi="Cambria"/>
          <w:sz w:val="26"/>
          <w:szCs w:val="26"/>
        </w:rPr>
      </w:pPr>
      <w:r>
        <w:rPr>
          <w:rFonts w:ascii="Cambria" w:hAnsi="Cambria"/>
          <w:sz w:val="26"/>
          <w:szCs w:val="26"/>
        </w:rPr>
        <w:t xml:space="preserve">A veszélyhelyzet kihirdetéséről szóló </w:t>
      </w:r>
      <w:r w:rsidR="00F00D7C">
        <w:rPr>
          <w:rFonts w:ascii="Cambria" w:hAnsi="Cambria"/>
          <w:sz w:val="26"/>
          <w:szCs w:val="26"/>
        </w:rPr>
        <w:t xml:space="preserve">Polgármestere </w:t>
      </w:r>
      <w:r w:rsidR="00F00D7C" w:rsidRPr="00831FF4">
        <w:rPr>
          <w:rFonts w:ascii="Cambria" w:hAnsi="Cambria"/>
          <w:sz w:val="26"/>
          <w:szCs w:val="26"/>
        </w:rPr>
        <w:t xml:space="preserve">a </w:t>
      </w:r>
      <w:r w:rsidR="00F00D7C" w:rsidRPr="0020330E">
        <w:rPr>
          <w:rFonts w:ascii="Cambria" w:hAnsi="Cambria"/>
          <w:sz w:val="26"/>
          <w:szCs w:val="26"/>
        </w:rPr>
        <w:t xml:space="preserve">veszélyhelyzet kihirdetéséről és a veszélyhelyzeti intézkedések hatálybalépéséről </w:t>
      </w:r>
      <w:r w:rsidR="00F00D7C" w:rsidRPr="00831FF4">
        <w:rPr>
          <w:rFonts w:ascii="Cambria" w:hAnsi="Cambria"/>
          <w:sz w:val="26"/>
          <w:szCs w:val="26"/>
        </w:rPr>
        <w:t xml:space="preserve">szóló </w:t>
      </w:r>
      <w:r w:rsidR="00F00D7C">
        <w:rPr>
          <w:rFonts w:ascii="Cambria" w:hAnsi="Cambria"/>
          <w:sz w:val="26"/>
          <w:szCs w:val="26"/>
        </w:rPr>
        <w:t>27</w:t>
      </w:r>
      <w:r w:rsidR="00F00D7C" w:rsidRPr="00831FF4">
        <w:rPr>
          <w:rFonts w:ascii="Cambria" w:hAnsi="Cambria"/>
          <w:sz w:val="26"/>
          <w:szCs w:val="26"/>
        </w:rPr>
        <w:t>/202</w:t>
      </w:r>
      <w:r w:rsidR="00F00D7C">
        <w:rPr>
          <w:rFonts w:ascii="Cambria" w:hAnsi="Cambria"/>
          <w:sz w:val="26"/>
          <w:szCs w:val="26"/>
        </w:rPr>
        <w:t>1</w:t>
      </w:r>
      <w:r w:rsidR="00F00D7C" w:rsidRPr="00831FF4">
        <w:rPr>
          <w:rFonts w:ascii="Cambria" w:hAnsi="Cambria"/>
          <w:sz w:val="26"/>
          <w:szCs w:val="26"/>
        </w:rPr>
        <w:t>.(I.</w:t>
      </w:r>
      <w:r w:rsidR="00F00D7C">
        <w:rPr>
          <w:rFonts w:ascii="Cambria" w:hAnsi="Cambria"/>
          <w:sz w:val="26"/>
          <w:szCs w:val="26"/>
        </w:rPr>
        <w:t>29</w:t>
      </w:r>
      <w:r w:rsidR="00F00D7C" w:rsidRPr="00831FF4">
        <w:rPr>
          <w:rFonts w:ascii="Cambria" w:hAnsi="Cambria"/>
          <w:sz w:val="26"/>
          <w:szCs w:val="26"/>
        </w:rPr>
        <w:t>.) Korm. rendelettel bevezetett különleges jogrendre figyelemmel</w:t>
      </w:r>
      <w:r>
        <w:rPr>
          <w:rFonts w:ascii="Cambria" w:hAnsi="Cambria"/>
          <w:sz w:val="26"/>
          <w:szCs w:val="26"/>
        </w:rPr>
        <w:t>, a katasztrófavédelemről és a hozzá kapcsolódó egyes törvények módosításáról szóló 2011. évi CXXVIII. törvény sarkalatosnak minősülő 46.§ (4) bekezdése biztosítja a polgármester számára, hogy a veszélyhelyzet ideje alatt önkormányzati hatáskörben eljárjon és önkormányzati rendeletet alkosson.</w:t>
      </w:r>
    </w:p>
    <w:p w14:paraId="600AFC2A" w14:textId="5B3ACF30" w:rsidR="004F3AE8" w:rsidRDefault="004F3AE8" w:rsidP="00877AB5">
      <w:pPr>
        <w:jc w:val="both"/>
        <w:rPr>
          <w:rFonts w:ascii="Cambria" w:hAnsi="Cambria"/>
          <w:sz w:val="26"/>
          <w:szCs w:val="26"/>
        </w:rPr>
      </w:pPr>
      <w:r>
        <w:rPr>
          <w:rFonts w:ascii="Cambria" w:hAnsi="Cambria"/>
          <w:sz w:val="26"/>
          <w:szCs w:val="26"/>
        </w:rPr>
        <w:t xml:space="preserve">A települési támogatásokról szóló 13/2019.(XII.18.) önkormányzati rendelet </w:t>
      </w:r>
      <w:r w:rsidR="00F00D7C">
        <w:rPr>
          <w:rFonts w:ascii="Cambria" w:hAnsi="Cambria"/>
          <w:sz w:val="26"/>
          <w:szCs w:val="26"/>
        </w:rPr>
        <w:t>7.§ (2) és (3) bekezdése a rendkívüli települési támogatások egyszeri összegének minimum és maximum összegét állapítja meg, valamint maximálja az egy évben nyújtó támogatás összegét és az öregségi nyugdíj mindenkori legkisebb összegének %-</w:t>
      </w:r>
      <w:proofErr w:type="spellStart"/>
      <w:r w:rsidR="00F00D7C">
        <w:rPr>
          <w:rFonts w:ascii="Cambria" w:hAnsi="Cambria"/>
          <w:sz w:val="26"/>
          <w:szCs w:val="26"/>
        </w:rPr>
        <w:t>ával</w:t>
      </w:r>
      <w:proofErr w:type="spellEnd"/>
      <w:r w:rsidR="00F00D7C">
        <w:rPr>
          <w:rFonts w:ascii="Cambria" w:hAnsi="Cambria"/>
          <w:sz w:val="26"/>
          <w:szCs w:val="26"/>
        </w:rPr>
        <w:t xml:space="preserve"> számol.</w:t>
      </w:r>
    </w:p>
    <w:p w14:paraId="0872FFC4" w14:textId="77777777" w:rsidR="00877AB5" w:rsidRDefault="00877AB5" w:rsidP="00877AB5">
      <w:pPr>
        <w:jc w:val="both"/>
        <w:rPr>
          <w:rFonts w:ascii="Cambria" w:hAnsi="Cambria"/>
          <w:sz w:val="26"/>
          <w:szCs w:val="26"/>
        </w:rPr>
      </w:pPr>
      <w:r>
        <w:rPr>
          <w:rFonts w:ascii="Cambria" w:hAnsi="Cambria"/>
          <w:sz w:val="26"/>
          <w:szCs w:val="26"/>
        </w:rPr>
        <w:t>A rendelet rendelkezéseinek indokolása:</w:t>
      </w:r>
    </w:p>
    <w:p w14:paraId="3ECAB228" w14:textId="77777777" w:rsidR="00877AB5" w:rsidRPr="007E3D5E" w:rsidRDefault="00877AB5" w:rsidP="00877AB5">
      <w:pPr>
        <w:jc w:val="both"/>
        <w:rPr>
          <w:rFonts w:ascii="Cambria" w:hAnsi="Cambria"/>
          <w:b/>
          <w:bCs/>
          <w:sz w:val="26"/>
          <w:szCs w:val="26"/>
        </w:rPr>
      </w:pPr>
      <w:r w:rsidRPr="007E3D5E">
        <w:rPr>
          <w:rFonts w:ascii="Cambria" w:hAnsi="Cambria"/>
          <w:b/>
          <w:bCs/>
          <w:sz w:val="26"/>
          <w:szCs w:val="26"/>
        </w:rPr>
        <w:t>Bevezető rendelkezés:</w:t>
      </w:r>
    </w:p>
    <w:p w14:paraId="01218BF7" w14:textId="77777777" w:rsidR="00877AB5" w:rsidRDefault="00877AB5" w:rsidP="00877AB5">
      <w:pPr>
        <w:jc w:val="both"/>
        <w:rPr>
          <w:rFonts w:ascii="Cambria" w:hAnsi="Cambria"/>
          <w:sz w:val="26"/>
          <w:szCs w:val="26"/>
        </w:rPr>
      </w:pPr>
      <w:r w:rsidRPr="007E3D5E">
        <w:rPr>
          <w:rFonts w:ascii="Cambria" w:hAnsi="Cambria"/>
          <w:sz w:val="26"/>
          <w:szCs w:val="26"/>
        </w:rPr>
        <w:t>A veszélyhelyzetre figyelemmel a Polgármester önkormányzati hatáskörben a katasztrófavédelemről és a hozzá kapcsolódó egyes törvények módosításáról szóló 2011. évi CXXVIII. törvény sarkalatosnak minősülő 46. § (4) bekezdésében biztosított hatáskörében eljárva hozza meg az önkormányzati rendeletet.</w:t>
      </w:r>
    </w:p>
    <w:p w14:paraId="7F0337A0" w14:textId="7A2B3B93" w:rsidR="00877AB5" w:rsidRDefault="00877AB5" w:rsidP="00877AB5">
      <w:pPr>
        <w:jc w:val="both"/>
        <w:rPr>
          <w:rFonts w:ascii="Cambria" w:hAnsi="Cambria"/>
          <w:sz w:val="26"/>
          <w:szCs w:val="26"/>
        </w:rPr>
      </w:pPr>
      <w:r w:rsidRPr="007E3D5E">
        <w:rPr>
          <w:rFonts w:ascii="Cambria" w:hAnsi="Cambria"/>
          <w:sz w:val="26"/>
          <w:szCs w:val="26"/>
        </w:rPr>
        <w:t>„(4) Veszélyhelyzetben a települési önkormányzat képviselő-testületének, a fővárosi, megyei közgyűlésnek feladat- és hatáskörét a polgármester, illetve a főpolgármester, a megyei közgyűlés elnöke gyakorolja. Ennek keretében nem foglalhat állást önkormányzati intézmény átszervezéséről, megszüntetéséről, ellátási, szolgáltatási körzeteiről, ha a szolgáltatás a települést is érinti.”</w:t>
      </w:r>
    </w:p>
    <w:p w14:paraId="6799801E" w14:textId="5B29163F" w:rsidR="00F00D7C" w:rsidRDefault="00F00D7C" w:rsidP="00877AB5">
      <w:pPr>
        <w:jc w:val="both"/>
        <w:rPr>
          <w:rFonts w:ascii="Cambria" w:hAnsi="Cambria"/>
          <w:sz w:val="26"/>
          <w:szCs w:val="26"/>
        </w:rPr>
      </w:pPr>
      <w:r>
        <w:rPr>
          <w:rFonts w:ascii="Cambria" w:hAnsi="Cambria"/>
          <w:sz w:val="26"/>
          <w:szCs w:val="26"/>
        </w:rPr>
        <w:t>A másik felhatalmazó rendelkezés a veszélyhelyzet elrendelésére vonatkozó szabályra történő hivatkozás.</w:t>
      </w:r>
    </w:p>
    <w:p w14:paraId="18242507" w14:textId="6C3F1D90" w:rsidR="00877AB5" w:rsidRPr="007E3D5E" w:rsidRDefault="004F3AE8" w:rsidP="00877AB5">
      <w:pPr>
        <w:jc w:val="both"/>
        <w:rPr>
          <w:rFonts w:ascii="Cambria" w:hAnsi="Cambria"/>
          <w:sz w:val="26"/>
          <w:szCs w:val="26"/>
        </w:rPr>
      </w:pPr>
      <w:r>
        <w:rPr>
          <w:rFonts w:ascii="Cambria" w:hAnsi="Cambria"/>
          <w:sz w:val="26"/>
          <w:szCs w:val="26"/>
        </w:rPr>
        <w:t xml:space="preserve">A bevezető rendelkezés további szabályai a szociális igazgatásról és szociális ellátásokról szóló törvény, valamint Magyarországi helyi önkormányzatairól szóló2011. </w:t>
      </w:r>
      <w:proofErr w:type="gramStart"/>
      <w:r>
        <w:rPr>
          <w:rFonts w:ascii="Cambria" w:hAnsi="Cambria"/>
          <w:sz w:val="26"/>
          <w:szCs w:val="26"/>
        </w:rPr>
        <w:t>évi  CLXXXIX.</w:t>
      </w:r>
      <w:proofErr w:type="gramEnd"/>
      <w:r>
        <w:rPr>
          <w:rFonts w:ascii="Cambria" w:hAnsi="Cambria"/>
          <w:sz w:val="26"/>
          <w:szCs w:val="26"/>
        </w:rPr>
        <w:t xml:space="preserve"> törvény felhatalmazó, illetve feladatkört megjelölő rendelkezéseire hivatkozik.</w:t>
      </w:r>
    </w:p>
    <w:p w14:paraId="3DAD3271" w14:textId="77777777" w:rsidR="00877AB5" w:rsidRDefault="00877AB5" w:rsidP="00877AB5">
      <w:pPr>
        <w:jc w:val="both"/>
        <w:rPr>
          <w:rFonts w:ascii="Cambria" w:hAnsi="Cambria"/>
          <w:b/>
          <w:bCs/>
          <w:color w:val="000000"/>
          <w:sz w:val="26"/>
          <w:szCs w:val="26"/>
        </w:rPr>
      </w:pPr>
      <w:r w:rsidRPr="0019522C">
        <w:rPr>
          <w:rFonts w:ascii="Cambria" w:hAnsi="Cambria"/>
          <w:b/>
          <w:bCs/>
          <w:color w:val="000000"/>
          <w:sz w:val="26"/>
          <w:szCs w:val="26"/>
        </w:rPr>
        <w:t>1.§-hoz:</w:t>
      </w:r>
    </w:p>
    <w:p w14:paraId="66F4C8D2" w14:textId="7632891F" w:rsidR="00F00D7C" w:rsidRDefault="00CF564E" w:rsidP="00CF564E">
      <w:pPr>
        <w:pStyle w:val="NormlWeb"/>
        <w:jc w:val="both"/>
        <w:rPr>
          <w:rFonts w:ascii="Cambria" w:hAnsi="Cambria"/>
          <w:sz w:val="26"/>
          <w:szCs w:val="26"/>
        </w:rPr>
      </w:pPr>
      <w:r w:rsidRPr="00CF564E">
        <w:rPr>
          <w:rFonts w:ascii="Cambria" w:hAnsi="Cambria"/>
          <w:sz w:val="26"/>
          <w:szCs w:val="26"/>
        </w:rPr>
        <w:t xml:space="preserve">Módosításra került a </w:t>
      </w:r>
      <w:r w:rsidR="00F00D7C">
        <w:rPr>
          <w:rFonts w:ascii="Cambria" w:hAnsi="Cambria"/>
          <w:sz w:val="26"/>
          <w:szCs w:val="26"/>
        </w:rPr>
        <w:t xml:space="preserve">7.§ (2) és (3) bekezdése.  A rendkívüli élethelyzetbe került kérelmező részére 5.000 Ft és 10.000 Ft közötti összeg állapítható meg, ennek </w:t>
      </w:r>
      <w:r w:rsidR="00F00D7C">
        <w:rPr>
          <w:rFonts w:ascii="Cambria" w:hAnsi="Cambria"/>
          <w:sz w:val="26"/>
          <w:szCs w:val="26"/>
        </w:rPr>
        <w:lastRenderedPageBreak/>
        <w:t xml:space="preserve">maximuma emelkedik egyszeri 30.000 Ft-ra. A rendkívüli élethelyzet lehet valamely elemi kár, olyan </w:t>
      </w:r>
      <w:proofErr w:type="spellStart"/>
      <w:r w:rsidR="00F00D7C">
        <w:rPr>
          <w:rFonts w:ascii="Cambria" w:hAnsi="Cambria"/>
          <w:sz w:val="26"/>
          <w:szCs w:val="26"/>
        </w:rPr>
        <w:t>vis</w:t>
      </w:r>
      <w:proofErr w:type="spellEnd"/>
      <w:r w:rsidR="00F00D7C">
        <w:rPr>
          <w:rFonts w:ascii="Cambria" w:hAnsi="Cambria"/>
          <w:sz w:val="26"/>
          <w:szCs w:val="26"/>
        </w:rPr>
        <w:t xml:space="preserve"> maior esemény bekövetkezte, mely nem volt várható és a kérelmezőt és családját olyan anyagi helyzetbe sodorja, mely számára megoldhatatlan. Ezért került megemelésre az adható támogatás felső határa.</w:t>
      </w:r>
    </w:p>
    <w:p w14:paraId="0BC354F7" w14:textId="11C64D56" w:rsidR="00F00D7C" w:rsidRDefault="00F00D7C" w:rsidP="00CF564E">
      <w:pPr>
        <w:pStyle w:val="NormlWeb"/>
        <w:jc w:val="both"/>
        <w:rPr>
          <w:rFonts w:ascii="Cambria" w:hAnsi="Cambria"/>
          <w:sz w:val="26"/>
          <w:szCs w:val="26"/>
        </w:rPr>
      </w:pPr>
      <w:r>
        <w:rPr>
          <w:rFonts w:ascii="Cambria" w:hAnsi="Cambria"/>
          <w:sz w:val="26"/>
          <w:szCs w:val="26"/>
        </w:rPr>
        <w:t xml:space="preserve">A második bekezdésben az évente nyújtható támogatás mértékének megemelésére kerül sor. Paszabon sok háztartás részesül lakásfenntartási támogatásban, </w:t>
      </w:r>
      <w:proofErr w:type="gramStart"/>
      <w:r>
        <w:rPr>
          <w:rFonts w:ascii="Cambria" w:hAnsi="Cambria"/>
          <w:sz w:val="26"/>
          <w:szCs w:val="26"/>
        </w:rPr>
        <w:t>így</w:t>
      </w:r>
      <w:proofErr w:type="gramEnd"/>
      <w:r>
        <w:rPr>
          <w:rFonts w:ascii="Cambria" w:hAnsi="Cambria"/>
          <w:sz w:val="26"/>
          <w:szCs w:val="26"/>
        </w:rPr>
        <w:t xml:space="preserve"> ha ilyen háztartás számára kell nagyobb segítséget nyújtani, az éves keret megakadályozza, hogy az önkormányzat nagyobb összegű támogatást állapíthasson meg. Természetesen ezen támogatási formák alkalmazása olyan rendkívül élethelyzetek esetén történnek, amikor elemi kár következik be, például szeles időjárás esetén megrongálódik a tető, az esőzések következtében kidől a házfal és a kérelmező olyan helyzetbe kerül önhibáján kívül, hogy saját pénzéből a helyreállítást nem tudja megoldani.</w:t>
      </w:r>
    </w:p>
    <w:p w14:paraId="3AA40C8D" w14:textId="211902B1" w:rsidR="00877AB5" w:rsidRDefault="00F00D7C" w:rsidP="00877AB5">
      <w:pPr>
        <w:jc w:val="both"/>
        <w:rPr>
          <w:rFonts w:ascii="Cambria" w:hAnsi="Cambria"/>
          <w:b/>
          <w:bCs/>
          <w:color w:val="000000"/>
          <w:sz w:val="26"/>
          <w:szCs w:val="26"/>
        </w:rPr>
      </w:pPr>
      <w:r>
        <w:rPr>
          <w:rFonts w:ascii="Cambria" w:hAnsi="Cambria"/>
          <w:b/>
          <w:bCs/>
          <w:color w:val="000000"/>
          <w:sz w:val="26"/>
          <w:szCs w:val="26"/>
        </w:rPr>
        <w:t>2</w:t>
      </w:r>
      <w:r w:rsidR="00877AB5" w:rsidRPr="00DF4F60">
        <w:rPr>
          <w:rFonts w:ascii="Cambria" w:hAnsi="Cambria"/>
          <w:b/>
          <w:bCs/>
          <w:color w:val="000000"/>
          <w:sz w:val="26"/>
          <w:szCs w:val="26"/>
        </w:rPr>
        <w:t>.§-hoz:</w:t>
      </w:r>
    </w:p>
    <w:p w14:paraId="428252DE" w14:textId="0A623FB4" w:rsidR="00877AB5" w:rsidRDefault="004F3AE8" w:rsidP="00877AB5">
      <w:pPr>
        <w:jc w:val="both"/>
        <w:rPr>
          <w:rFonts w:ascii="Cambria" w:hAnsi="Cambria"/>
          <w:color w:val="000000"/>
          <w:sz w:val="26"/>
          <w:szCs w:val="26"/>
        </w:rPr>
      </w:pPr>
      <w:r>
        <w:rPr>
          <w:rFonts w:ascii="Cambria" w:hAnsi="Cambria"/>
          <w:color w:val="000000"/>
          <w:sz w:val="26"/>
          <w:szCs w:val="26"/>
        </w:rPr>
        <w:t>A rendelet hatályba léptető rendelkezését tartalmazza, illetve öngyilkos klauzula alkalmazásával hatályon kívül helyezi a módosító rendeletet.</w:t>
      </w:r>
    </w:p>
    <w:p w14:paraId="1CB1D9BB" w14:textId="77777777" w:rsidR="00877AB5" w:rsidRDefault="00877AB5" w:rsidP="00877AB5">
      <w:pPr>
        <w:jc w:val="both"/>
        <w:rPr>
          <w:rFonts w:ascii="Cambria" w:hAnsi="Cambria"/>
          <w:color w:val="000000"/>
          <w:sz w:val="26"/>
          <w:szCs w:val="26"/>
        </w:rPr>
      </w:pPr>
    </w:p>
    <w:p w14:paraId="6DFA8E8F" w14:textId="7B4F2F5A" w:rsidR="00877AB5" w:rsidRDefault="00877AB5" w:rsidP="00877AB5">
      <w:pPr>
        <w:jc w:val="both"/>
        <w:rPr>
          <w:rFonts w:ascii="Cambria" w:hAnsi="Cambria"/>
          <w:color w:val="000000"/>
          <w:sz w:val="26"/>
          <w:szCs w:val="26"/>
        </w:rPr>
      </w:pPr>
      <w:r>
        <w:rPr>
          <w:rFonts w:ascii="Cambria" w:hAnsi="Cambria"/>
          <w:color w:val="000000"/>
          <w:sz w:val="26"/>
          <w:szCs w:val="26"/>
        </w:rPr>
        <w:t xml:space="preserve">Paszab, </w:t>
      </w:r>
      <w:r w:rsidR="00381CB7">
        <w:rPr>
          <w:rFonts w:ascii="Cambria" w:hAnsi="Cambria"/>
          <w:color w:val="000000"/>
          <w:sz w:val="26"/>
          <w:szCs w:val="26"/>
        </w:rPr>
        <w:t>2021. március 17.</w:t>
      </w:r>
    </w:p>
    <w:p w14:paraId="403BE38F" w14:textId="77777777" w:rsidR="00877AB5" w:rsidRDefault="00877AB5" w:rsidP="00877AB5">
      <w:pPr>
        <w:jc w:val="both"/>
        <w:rPr>
          <w:rFonts w:ascii="Cambria" w:hAnsi="Cambria"/>
          <w:color w:val="000000"/>
          <w:sz w:val="26"/>
          <w:szCs w:val="26"/>
        </w:rPr>
      </w:pPr>
    </w:p>
    <w:p w14:paraId="5495B618" w14:textId="77777777" w:rsidR="00877AB5" w:rsidRDefault="00877AB5" w:rsidP="00877AB5">
      <w:pPr>
        <w:jc w:val="both"/>
        <w:rPr>
          <w:rFonts w:ascii="Cambria" w:hAnsi="Cambria"/>
          <w:color w:val="000000"/>
          <w:sz w:val="26"/>
          <w:szCs w:val="26"/>
        </w:rPr>
      </w:pPr>
    </w:p>
    <w:p w14:paraId="0E77AC0F" w14:textId="77777777" w:rsidR="00877AB5" w:rsidRDefault="00877AB5" w:rsidP="00877AB5">
      <w:pPr>
        <w:jc w:val="both"/>
        <w:rPr>
          <w:rFonts w:ascii="Cambria" w:hAnsi="Cambria"/>
          <w:color w:val="000000"/>
          <w:sz w:val="26"/>
          <w:szCs w:val="26"/>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7AB5" w14:paraId="1BB6C0D0" w14:textId="77777777" w:rsidTr="004805A7">
        <w:tc>
          <w:tcPr>
            <w:tcW w:w="4531" w:type="dxa"/>
          </w:tcPr>
          <w:p w14:paraId="20108029" w14:textId="77777777" w:rsidR="00877AB5" w:rsidRDefault="00877AB5" w:rsidP="004805A7">
            <w:pPr>
              <w:jc w:val="center"/>
              <w:rPr>
                <w:rFonts w:ascii="Cambria" w:hAnsi="Cambria"/>
                <w:color w:val="000000"/>
                <w:sz w:val="26"/>
                <w:szCs w:val="26"/>
              </w:rPr>
            </w:pPr>
            <w:r>
              <w:rPr>
                <w:rFonts w:ascii="Cambria" w:hAnsi="Cambria"/>
                <w:color w:val="000000"/>
                <w:sz w:val="26"/>
                <w:szCs w:val="26"/>
              </w:rPr>
              <w:t>Bakos Tóth Ildikó</w:t>
            </w:r>
          </w:p>
        </w:tc>
        <w:tc>
          <w:tcPr>
            <w:tcW w:w="4531" w:type="dxa"/>
          </w:tcPr>
          <w:p w14:paraId="34116E07" w14:textId="77777777" w:rsidR="00877AB5" w:rsidRDefault="00877AB5" w:rsidP="004805A7">
            <w:pPr>
              <w:jc w:val="center"/>
              <w:rPr>
                <w:rFonts w:ascii="Cambria" w:hAnsi="Cambria"/>
                <w:color w:val="000000"/>
                <w:sz w:val="26"/>
                <w:szCs w:val="26"/>
              </w:rPr>
            </w:pPr>
            <w:proofErr w:type="spellStart"/>
            <w:r>
              <w:rPr>
                <w:rFonts w:ascii="Cambria" w:hAnsi="Cambria"/>
                <w:color w:val="000000"/>
                <w:sz w:val="26"/>
                <w:szCs w:val="26"/>
              </w:rPr>
              <w:t>Tajthy</w:t>
            </w:r>
            <w:proofErr w:type="spellEnd"/>
            <w:r>
              <w:rPr>
                <w:rFonts w:ascii="Cambria" w:hAnsi="Cambria"/>
                <w:color w:val="000000"/>
                <w:sz w:val="26"/>
                <w:szCs w:val="26"/>
              </w:rPr>
              <w:t xml:space="preserve"> Péter</w:t>
            </w:r>
          </w:p>
        </w:tc>
      </w:tr>
      <w:tr w:rsidR="00877AB5" w14:paraId="3BFECEE6" w14:textId="77777777" w:rsidTr="004805A7">
        <w:tc>
          <w:tcPr>
            <w:tcW w:w="4531" w:type="dxa"/>
          </w:tcPr>
          <w:p w14:paraId="4D0F9CDD" w14:textId="77777777" w:rsidR="00877AB5" w:rsidRDefault="00877AB5" w:rsidP="004805A7">
            <w:pPr>
              <w:jc w:val="center"/>
              <w:rPr>
                <w:rFonts w:ascii="Cambria" w:hAnsi="Cambria"/>
                <w:color w:val="000000"/>
                <w:sz w:val="26"/>
                <w:szCs w:val="26"/>
              </w:rPr>
            </w:pPr>
            <w:r>
              <w:rPr>
                <w:rFonts w:ascii="Cambria" w:hAnsi="Cambria"/>
                <w:color w:val="000000"/>
                <w:sz w:val="26"/>
                <w:szCs w:val="26"/>
              </w:rPr>
              <w:t>jegyző</w:t>
            </w:r>
          </w:p>
        </w:tc>
        <w:tc>
          <w:tcPr>
            <w:tcW w:w="4531" w:type="dxa"/>
          </w:tcPr>
          <w:p w14:paraId="6B01B80E" w14:textId="77777777" w:rsidR="00877AB5" w:rsidRDefault="00877AB5" w:rsidP="004805A7">
            <w:pPr>
              <w:jc w:val="center"/>
              <w:rPr>
                <w:rFonts w:ascii="Cambria" w:hAnsi="Cambria"/>
                <w:color w:val="000000"/>
                <w:sz w:val="26"/>
                <w:szCs w:val="26"/>
              </w:rPr>
            </w:pPr>
            <w:r>
              <w:rPr>
                <w:rFonts w:ascii="Cambria" w:hAnsi="Cambria"/>
                <w:color w:val="000000"/>
                <w:sz w:val="26"/>
                <w:szCs w:val="26"/>
              </w:rPr>
              <w:t>polgármester</w:t>
            </w:r>
          </w:p>
        </w:tc>
      </w:tr>
    </w:tbl>
    <w:p w14:paraId="395410EA" w14:textId="77777777" w:rsidR="00877AB5" w:rsidRPr="007E3D5E" w:rsidRDefault="00877AB5" w:rsidP="00877AB5">
      <w:pPr>
        <w:jc w:val="both"/>
        <w:rPr>
          <w:rFonts w:ascii="Cambria" w:hAnsi="Cambria"/>
          <w:sz w:val="26"/>
          <w:szCs w:val="26"/>
        </w:rPr>
      </w:pPr>
    </w:p>
    <w:p w14:paraId="3C7730C6" w14:textId="77777777" w:rsidR="00485FAA" w:rsidRDefault="00485FAA"/>
    <w:sectPr w:rsidR="00485FAA" w:rsidSect="0019522C">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9731E" w14:textId="77777777" w:rsidR="00000000" w:rsidRDefault="00381CB7">
      <w:pPr>
        <w:spacing w:after="0" w:line="240" w:lineRule="auto"/>
      </w:pPr>
      <w:r>
        <w:separator/>
      </w:r>
    </w:p>
  </w:endnote>
  <w:endnote w:type="continuationSeparator" w:id="0">
    <w:p w14:paraId="30D869D9" w14:textId="77777777" w:rsidR="00000000" w:rsidRDefault="0038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15152" w14:textId="77777777" w:rsidR="00000000" w:rsidRDefault="00381CB7">
      <w:pPr>
        <w:spacing w:after="0" w:line="240" w:lineRule="auto"/>
      </w:pPr>
      <w:r>
        <w:separator/>
      </w:r>
    </w:p>
  </w:footnote>
  <w:footnote w:type="continuationSeparator" w:id="0">
    <w:p w14:paraId="6773AD1F" w14:textId="77777777" w:rsidR="00000000" w:rsidRDefault="00381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5099347"/>
      <w:docPartObj>
        <w:docPartGallery w:val="Page Numbers (Top of Page)"/>
        <w:docPartUnique/>
      </w:docPartObj>
    </w:sdtPr>
    <w:sdtEndPr/>
    <w:sdtContent>
      <w:p w14:paraId="6919C629" w14:textId="77777777" w:rsidR="0019522C" w:rsidRDefault="00CF564E">
        <w:pPr>
          <w:pStyle w:val="lfej"/>
          <w:jc w:val="center"/>
        </w:pPr>
        <w:r>
          <w:fldChar w:fldCharType="begin"/>
        </w:r>
        <w:r>
          <w:instrText>PAGE   \* MERGEFORMAT</w:instrText>
        </w:r>
        <w:r>
          <w:fldChar w:fldCharType="separate"/>
        </w:r>
        <w:r>
          <w:t>2</w:t>
        </w:r>
        <w:r>
          <w:fldChar w:fldCharType="end"/>
        </w:r>
      </w:p>
    </w:sdtContent>
  </w:sdt>
  <w:p w14:paraId="1CD3F4FA" w14:textId="77777777" w:rsidR="0019522C" w:rsidRDefault="00381CB7">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23"/>
    <w:rsid w:val="00381CB7"/>
    <w:rsid w:val="00485FAA"/>
    <w:rsid w:val="004F3AE8"/>
    <w:rsid w:val="00877AB5"/>
    <w:rsid w:val="00961023"/>
    <w:rsid w:val="00CF564E"/>
    <w:rsid w:val="00F00D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6288"/>
  <w15:chartTrackingRefBased/>
  <w15:docId w15:val="{3498FAD1-5DA4-4D0A-B1BA-BC886B82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77AB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77AB5"/>
    <w:pPr>
      <w:tabs>
        <w:tab w:val="center" w:pos="4536"/>
        <w:tab w:val="right" w:pos="9072"/>
      </w:tabs>
      <w:spacing w:after="0" w:line="240" w:lineRule="auto"/>
    </w:pPr>
  </w:style>
  <w:style w:type="character" w:customStyle="1" w:styleId="lfejChar">
    <w:name w:val="Élőfej Char"/>
    <w:basedOn w:val="Bekezdsalapbettpusa"/>
    <w:link w:val="lfej"/>
    <w:uiPriority w:val="99"/>
    <w:rsid w:val="00877AB5"/>
  </w:style>
  <w:style w:type="table" w:styleId="Rcsostblzat">
    <w:name w:val="Table Grid"/>
    <w:basedOn w:val="Normltblzat"/>
    <w:uiPriority w:val="39"/>
    <w:rsid w:val="0087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4F3AE8"/>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442</Words>
  <Characters>3055</Characters>
  <Application>Microsoft Office Word</Application>
  <DocSecurity>0</DocSecurity>
  <Lines>25</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Zoltán</dc:creator>
  <cp:keywords/>
  <dc:description/>
  <cp:lastModifiedBy>Szabó Zoltán</cp:lastModifiedBy>
  <cp:revision>6</cp:revision>
  <cp:lastPrinted>2021-03-23T08:35:00Z</cp:lastPrinted>
  <dcterms:created xsi:type="dcterms:W3CDTF">2020-12-22T12:06:00Z</dcterms:created>
  <dcterms:modified xsi:type="dcterms:W3CDTF">2021-03-23T08:43:00Z</dcterms:modified>
</cp:coreProperties>
</file>