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8" w:rsidRPr="009708A8" w:rsidRDefault="009708A8" w:rsidP="009708A8">
      <w:pPr>
        <w:jc w:val="both"/>
        <w:rPr>
          <w:i/>
        </w:rPr>
      </w:pPr>
      <w:r w:rsidRPr="009708A8">
        <w:rPr>
          <w:i/>
        </w:rPr>
        <w:t>1. melléklet a 9/2015. (VIII. 10.) önkormányzati rendelethez</w:t>
      </w:r>
    </w:p>
    <w:p w:rsidR="009708A8" w:rsidRPr="009708A8" w:rsidRDefault="009708A8" w:rsidP="009708A8">
      <w:pPr>
        <w:spacing w:after="120" w:line="240" w:lineRule="auto"/>
        <w:rPr>
          <w:rFonts w:eastAsia="Times New Roman" w:cs="Times New Roman"/>
          <w:b/>
          <w:bCs/>
          <w:szCs w:val="16"/>
          <w:lang w:eastAsia="hu-HU"/>
        </w:rPr>
      </w:pPr>
    </w:p>
    <w:p w:rsidR="009708A8" w:rsidRPr="009708A8" w:rsidRDefault="009708A8" w:rsidP="009708A8">
      <w:pPr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hu-HU"/>
        </w:rPr>
      </w:pPr>
      <w:r w:rsidRPr="009708A8">
        <w:rPr>
          <w:rFonts w:eastAsia="Times New Roman" w:cs="Times New Roman"/>
          <w:b/>
          <w:bCs/>
          <w:szCs w:val="16"/>
          <w:lang w:eastAsia="hu-HU"/>
        </w:rPr>
        <w:t>Temetési hely díja (újraváltási díja)</w:t>
      </w:r>
    </w:p>
    <w:p w:rsidR="009708A8" w:rsidRPr="009708A8" w:rsidRDefault="009708A8" w:rsidP="009708A8">
      <w:pPr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hu-HU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534"/>
        <w:gridCol w:w="2400"/>
        <w:gridCol w:w="2311"/>
      </w:tblGrid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1.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Egyszemélyes sírhely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3.000,-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2.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Kétszemélyes sírhely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6.000,-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3.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Gyermek sírhely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0.-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4.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Urna sírhely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2.000,-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5.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Sírbolt, (kripta)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50.000,-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6.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Urnafülke egyes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2.000,-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7.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Urnafülke kettes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4.000,-</w:t>
            </w:r>
          </w:p>
        </w:tc>
      </w:tr>
      <w:tr w:rsidR="009708A8" w:rsidRPr="009708A8" w:rsidTr="0030114C">
        <w:tc>
          <w:tcPr>
            <w:tcW w:w="534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8.</w:t>
            </w:r>
          </w:p>
        </w:tc>
        <w:tc>
          <w:tcPr>
            <w:tcW w:w="2400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Urnasírbolt</w:t>
            </w:r>
          </w:p>
        </w:tc>
        <w:tc>
          <w:tcPr>
            <w:tcW w:w="2311" w:type="dxa"/>
          </w:tcPr>
          <w:p w:rsidR="009708A8" w:rsidRPr="009708A8" w:rsidRDefault="009708A8" w:rsidP="009708A8">
            <w:pPr>
              <w:jc w:val="both"/>
              <w:rPr>
                <w:rFonts w:eastAsia="Times New Roman" w:cs="Times New Roman"/>
                <w:bCs/>
                <w:szCs w:val="16"/>
                <w:lang w:eastAsia="hu-HU"/>
              </w:rPr>
            </w:pPr>
            <w:r w:rsidRPr="009708A8">
              <w:rPr>
                <w:rFonts w:eastAsia="Times New Roman" w:cs="Times New Roman"/>
                <w:bCs/>
                <w:szCs w:val="16"/>
                <w:lang w:eastAsia="hu-HU"/>
              </w:rPr>
              <w:t>30.000,-</w:t>
            </w:r>
          </w:p>
        </w:tc>
      </w:tr>
    </w:tbl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/>
    <w:p w:rsidR="009708A8" w:rsidRDefault="009708A8" w:rsidP="009708A8"/>
    <w:p w:rsidR="009708A8" w:rsidRDefault="009708A8" w:rsidP="009708A8"/>
    <w:p w:rsidR="009708A8" w:rsidRPr="009708A8" w:rsidRDefault="009708A8" w:rsidP="009708A8">
      <w:bookmarkStart w:id="0" w:name="_GoBack"/>
      <w:bookmarkEnd w:id="0"/>
    </w:p>
    <w:p w:rsidR="009708A8" w:rsidRPr="009708A8" w:rsidRDefault="009708A8" w:rsidP="009708A8"/>
    <w:p w:rsidR="009708A8" w:rsidRPr="009708A8" w:rsidRDefault="009708A8" w:rsidP="009708A8"/>
    <w:p w:rsidR="009708A8" w:rsidRPr="009708A8" w:rsidRDefault="009708A8" w:rsidP="009708A8">
      <w:pPr>
        <w:rPr>
          <w:i/>
        </w:rPr>
      </w:pPr>
      <w:r w:rsidRPr="009708A8">
        <w:rPr>
          <w:i/>
        </w:rPr>
        <w:t>2. számú melléklet a</w:t>
      </w:r>
      <w:r w:rsidRPr="009708A8">
        <w:t xml:space="preserve"> </w:t>
      </w:r>
      <w:r w:rsidRPr="009708A8">
        <w:rPr>
          <w:i/>
        </w:rPr>
        <w:t>9/2015. (VIII. 10.) önkormányzati rendelethez</w:t>
      </w:r>
    </w:p>
    <w:p w:rsidR="009708A8" w:rsidRPr="009708A8" w:rsidRDefault="009708A8" w:rsidP="009708A8"/>
    <w:p w:rsidR="009708A8" w:rsidRPr="009708A8" w:rsidRDefault="009708A8" w:rsidP="009708A8">
      <w:pPr>
        <w:jc w:val="center"/>
        <w:rPr>
          <w:b/>
        </w:rPr>
      </w:pPr>
      <w:r w:rsidRPr="009708A8">
        <w:rPr>
          <w:b/>
        </w:rPr>
        <w:t xml:space="preserve">A </w:t>
      </w:r>
      <w:proofErr w:type="spellStart"/>
      <w:r w:rsidRPr="009708A8">
        <w:rPr>
          <w:b/>
        </w:rPr>
        <w:t>temetőfenntartási</w:t>
      </w:r>
      <w:proofErr w:type="spellEnd"/>
      <w:r w:rsidRPr="009708A8">
        <w:rPr>
          <w:b/>
        </w:rPr>
        <w:t xml:space="preserve"> hozzájárulás díjáról, valamint a temetői létesítmények, illetve az üzemeltető által biztosított szolgáltatások igénybevételéért a temetkezési szolgáltatók által fizetendő díjról</w:t>
      </w:r>
    </w:p>
    <w:p w:rsidR="009708A8" w:rsidRPr="009708A8" w:rsidRDefault="009708A8" w:rsidP="009708A8">
      <w:pPr>
        <w:jc w:val="center"/>
      </w:pPr>
    </w:p>
    <w:p w:rsidR="009708A8" w:rsidRPr="009708A8" w:rsidRDefault="009708A8" w:rsidP="009708A8">
      <w:pPr>
        <w:numPr>
          <w:ilvl w:val="0"/>
          <w:numId w:val="1"/>
        </w:numPr>
        <w:contextualSpacing/>
      </w:pPr>
      <w:r w:rsidRPr="009708A8">
        <w:t xml:space="preserve">A </w:t>
      </w:r>
      <w:proofErr w:type="spellStart"/>
      <w:r w:rsidRPr="009708A8">
        <w:t>temetőfenntartási</w:t>
      </w:r>
      <w:proofErr w:type="spellEnd"/>
      <w:r w:rsidRPr="009708A8">
        <w:t xml:space="preserve"> hozzájárulás díja: 500 Ft</w:t>
      </w:r>
    </w:p>
    <w:p w:rsidR="009708A8" w:rsidRPr="009708A8" w:rsidRDefault="009708A8" w:rsidP="009708A8">
      <w:pPr>
        <w:ind w:left="1080"/>
        <w:contextualSpacing/>
      </w:pPr>
    </w:p>
    <w:p w:rsidR="009708A8" w:rsidRPr="009708A8" w:rsidRDefault="009708A8" w:rsidP="009708A8">
      <w:pPr>
        <w:numPr>
          <w:ilvl w:val="0"/>
          <w:numId w:val="1"/>
        </w:numPr>
        <w:contextualSpacing/>
        <w:jc w:val="both"/>
      </w:pPr>
      <w:r w:rsidRPr="009708A8">
        <w:t>A temetői létesítmények, illetve az üzemeltető által biztosított szolgáltatások igénybevételéért a temetkezési szolgáltatók által fizetendő díj:</w:t>
      </w:r>
    </w:p>
    <w:p w:rsidR="009708A8" w:rsidRPr="009708A8" w:rsidRDefault="009708A8" w:rsidP="009708A8">
      <w:pPr>
        <w:numPr>
          <w:ilvl w:val="0"/>
          <w:numId w:val="2"/>
        </w:numPr>
        <w:contextualSpacing/>
      </w:pPr>
      <w:r w:rsidRPr="009708A8">
        <w:t>ravatalozó: 1.000 Ft</w:t>
      </w:r>
    </w:p>
    <w:p w:rsidR="009708A8" w:rsidRPr="009708A8" w:rsidRDefault="009708A8" w:rsidP="009708A8">
      <w:pPr>
        <w:numPr>
          <w:ilvl w:val="0"/>
          <w:numId w:val="2"/>
        </w:numPr>
        <w:contextualSpacing/>
      </w:pPr>
      <w:r w:rsidRPr="009708A8">
        <w:t>hűtő-tároló</w:t>
      </w:r>
      <w:proofErr w:type="gramStart"/>
      <w:r w:rsidRPr="009708A8">
        <w:t>:   500</w:t>
      </w:r>
      <w:proofErr w:type="gramEnd"/>
      <w:r w:rsidRPr="009708A8">
        <w:t xml:space="preserve"> Ft</w:t>
      </w:r>
    </w:p>
    <w:p w:rsidR="009708A8" w:rsidRPr="009708A8" w:rsidRDefault="009708A8" w:rsidP="009708A8"/>
    <w:p w:rsidR="00AE3E49" w:rsidRDefault="00AE3E49"/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1FB4"/>
    <w:multiLevelType w:val="hybridMultilevel"/>
    <w:tmpl w:val="AD2C04FE"/>
    <w:lvl w:ilvl="0" w:tplc="4918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5D1"/>
    <w:multiLevelType w:val="hybridMultilevel"/>
    <w:tmpl w:val="898C26F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8"/>
    <w:rsid w:val="009708A8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08A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08A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2015-08-17T12:37:00Z</dcterms:created>
  <dcterms:modified xsi:type="dcterms:W3CDTF">2015-08-17T12:38:00Z</dcterms:modified>
</cp:coreProperties>
</file>