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1B" w:rsidRDefault="006C051B" w:rsidP="006C051B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1. sz. függelék</w:t>
      </w:r>
      <w:r>
        <w:rPr>
          <w:rStyle w:val="Lbjegyzet-hivatkozs"/>
          <w:sz w:val="28"/>
          <w:szCs w:val="28"/>
        </w:rPr>
        <w:footnoteReference w:id="2"/>
      </w:r>
    </w:p>
    <w:p w:rsidR="006C051B" w:rsidRDefault="006C051B" w:rsidP="006C051B">
      <w:pPr>
        <w:ind w:firstLine="708"/>
        <w:jc w:val="right"/>
        <w:rPr>
          <w:b/>
          <w:sz w:val="28"/>
          <w:szCs w:val="28"/>
        </w:rPr>
      </w:pPr>
    </w:p>
    <w:p w:rsidR="006C051B" w:rsidRDefault="006C051B" w:rsidP="006C05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Önkormányzati képviselők és bizottsági tagok névjegyzéke</w:t>
      </w:r>
    </w:p>
    <w:p w:rsidR="006C051B" w:rsidRDefault="006C051B" w:rsidP="006C051B">
      <w:pPr>
        <w:jc w:val="center"/>
        <w:rPr>
          <w:b/>
          <w:sz w:val="28"/>
          <w:szCs w:val="28"/>
        </w:rPr>
      </w:pPr>
    </w:p>
    <w:p w:rsidR="006C051B" w:rsidRDefault="006C051B" w:rsidP="006C051B">
      <w:pPr>
        <w:jc w:val="center"/>
        <w:rPr>
          <w:b/>
        </w:rPr>
      </w:pPr>
    </w:p>
    <w:p w:rsidR="006C051B" w:rsidRDefault="006C051B" w:rsidP="006C051B">
      <w:pPr>
        <w:jc w:val="center"/>
      </w:pPr>
    </w:p>
    <w:p w:rsidR="006C051B" w:rsidRDefault="006C051B" w:rsidP="006C05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402"/>
        <w:gridCol w:w="4709"/>
      </w:tblGrid>
      <w:tr w:rsidR="006C051B" w:rsidTr="006C05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Höfler József polgármester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Kisvejke, Kossuth u. 46.</w:t>
            </w:r>
          </w:p>
        </w:tc>
      </w:tr>
      <w:tr w:rsidR="006C051B" w:rsidTr="006C05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Bernhardt Jánosné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Kisvejke, Rákóczi u. 100.</w:t>
            </w:r>
          </w:p>
        </w:tc>
      </w:tr>
      <w:tr w:rsidR="006C051B" w:rsidTr="006C05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Farkas-Jókai Noémi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Kisvejke, Petőfi u. 57.</w:t>
            </w:r>
          </w:p>
        </w:tc>
      </w:tr>
      <w:tr w:rsidR="006C051B" w:rsidTr="006C05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Ferenc Veronika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Bonyhád, Dózsa György u. 60.</w:t>
            </w:r>
          </w:p>
        </w:tc>
      </w:tr>
      <w:tr w:rsidR="006C051B" w:rsidTr="006C05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Herbert Zoltán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1B" w:rsidRDefault="006C051B">
            <w:pPr>
              <w:spacing w:line="360" w:lineRule="auto"/>
            </w:pPr>
            <w:r>
              <w:t>Kisvejke, Dózsa György u. 77.</w:t>
            </w:r>
          </w:p>
        </w:tc>
      </w:tr>
    </w:tbl>
    <w:p w:rsidR="006C051B" w:rsidRDefault="006C051B" w:rsidP="006C051B">
      <w:pPr>
        <w:jc w:val="both"/>
      </w:pPr>
    </w:p>
    <w:p w:rsidR="006C051B" w:rsidRDefault="006C051B" w:rsidP="006C051B">
      <w:pPr>
        <w:jc w:val="both"/>
      </w:pPr>
      <w:r>
        <w:t>Ügyrendi Bizottság:</w:t>
      </w:r>
    </w:p>
    <w:p w:rsidR="006C051B" w:rsidRDefault="006C051B" w:rsidP="006C051B">
      <w:pPr>
        <w:jc w:val="both"/>
      </w:pPr>
    </w:p>
    <w:p w:rsidR="006C051B" w:rsidRDefault="006C051B" w:rsidP="006C051B">
      <w:pPr>
        <w:jc w:val="both"/>
      </w:pPr>
      <w:r>
        <w:t>Farkas-Jókai Noémi Kisvejke, Petőfi u. 57.</w:t>
      </w:r>
    </w:p>
    <w:p w:rsidR="006C051B" w:rsidRDefault="006C051B" w:rsidP="006C051B">
      <w:pPr>
        <w:jc w:val="both"/>
      </w:pPr>
    </w:p>
    <w:p w:rsidR="006C051B" w:rsidRDefault="006C051B" w:rsidP="006C051B">
      <w:pPr>
        <w:jc w:val="both"/>
      </w:pPr>
      <w:r>
        <w:t>Herbert Zoltán Kisvejke, Dózsa György u. 77.</w:t>
      </w:r>
    </w:p>
    <w:p w:rsidR="006C051B" w:rsidRDefault="006C051B" w:rsidP="006C051B">
      <w:pPr>
        <w:jc w:val="both"/>
      </w:pPr>
    </w:p>
    <w:p w:rsidR="006C051B" w:rsidRDefault="006C051B" w:rsidP="006C051B">
      <w:pPr>
        <w:jc w:val="both"/>
      </w:pPr>
      <w:r>
        <w:t>Lőrincz Melinda Kisvejke, Ady u. 157.</w:t>
      </w:r>
    </w:p>
    <w:p w:rsidR="006C051B" w:rsidRDefault="006C051B" w:rsidP="006C051B">
      <w:pPr>
        <w:jc w:val="both"/>
        <w:rPr>
          <w:highlight w:val="yellow"/>
        </w:rPr>
      </w:pPr>
    </w:p>
    <w:p w:rsidR="006C051B" w:rsidRDefault="006C051B" w:rsidP="006C051B">
      <w:pPr>
        <w:jc w:val="both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</w:p>
    <w:p w:rsidR="0062635A" w:rsidRDefault="0062635A" w:rsidP="0062635A">
      <w:pPr>
        <w:pStyle w:val="NormlWeb"/>
        <w:spacing w:before="0" w:beforeAutospacing="0" w:after="0"/>
        <w:jc w:val="right"/>
      </w:pPr>
      <w:r>
        <w:t>2 . sz. függelék</w:t>
      </w: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Bonyhádi Közös Önkormányzati Hivatal</w:t>
      </w:r>
      <w:r w:rsidRPr="00D70D9F">
        <w:rPr>
          <w:b/>
        </w:rPr>
        <w:t xml:space="preserve"> </w:t>
      </w: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 xml:space="preserve">Szervezeti és Működési Szabályzata </w:t>
      </w: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(Ügyrend és munkarend)</w:t>
      </w:r>
    </w:p>
    <w:p w:rsidR="0062635A" w:rsidRDefault="0062635A" w:rsidP="0062635A">
      <w:pPr>
        <w:pStyle w:val="NormlWeb"/>
        <w:spacing w:before="0" w:beforeAutospacing="0" w:after="0"/>
        <w:jc w:val="center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>Magyarország helyi önkormányzatairól szóló 2011. évi CLXXXIX. tv. (továbbiakban: Mötv.), valamint a közös hivatalt fenntartó önkormányzatokkal kötött társulási megállapodás alapján a Bonyhádi Közös Önkormányzati Hivatal Szervezeti és Működési Szabályzatát az alábbiakban határozzák meg az érintett képviselő-testületek: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B81D07" w:rsidRDefault="0062635A" w:rsidP="0062635A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  <w:sz w:val="28"/>
          <w:szCs w:val="28"/>
        </w:rPr>
        <w:t>I.</w:t>
      </w:r>
    </w:p>
    <w:p w:rsidR="0062635A" w:rsidRPr="00B81D07" w:rsidRDefault="0062635A" w:rsidP="0062635A">
      <w:pPr>
        <w:pStyle w:val="NormlWeb"/>
        <w:spacing w:before="0" w:beforeAutospacing="0" w:after="0"/>
        <w:jc w:val="center"/>
        <w:rPr>
          <w:b/>
        </w:rPr>
      </w:pPr>
      <w:r w:rsidRPr="00B81D07">
        <w:rPr>
          <w:b/>
        </w:rPr>
        <w:t>Általános rendelkezések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Bonyhád Város Önkormányzatának Képviselő-testülete,</w:t>
      </w:r>
      <w:r w:rsidRPr="00433CBC">
        <w:t xml:space="preserve"> </w:t>
      </w:r>
      <w:r>
        <w:t>Bonyhádvarasd Község Önkormányzatának Képviselő-testülete, Grábóc</w:t>
      </w:r>
      <w:r w:rsidRPr="00D17CE3">
        <w:t xml:space="preserve"> </w:t>
      </w:r>
      <w:r>
        <w:t>Község Önkormányzatának Képviselő-testülete, Izmény</w:t>
      </w:r>
      <w:r w:rsidRPr="00D17CE3">
        <w:t xml:space="preserve"> </w:t>
      </w:r>
      <w:r>
        <w:t>Község Önkormányzatának Képviselő-testülete Kisdorog Község Önkormányzatának Képviselő-testülete, Kismányok Község Önkormányzatának Képviselő-testülete, Kisvejke</w:t>
      </w:r>
      <w:r w:rsidRPr="00D17CE3">
        <w:t xml:space="preserve"> </w:t>
      </w:r>
      <w:r>
        <w:t>Község Önkormányzatának Képviselő-testülete, Mőcsény Község Önkormányzatának Képviselő-testülete, Váralja Község Önkormányzatának Képviselő-testülete működésével kapcsolatos feladatokat, valamint a polgármesterek és a jegyző feladat- és hatáskörébe tartozó ügyek döntésre való előkészítésével és végrehajtásával kapcsolatos feladatokat a Bonyhádi Közös Önkormányzati Hivatal (továbbiakban: Hivatal) látja el.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Hivatal elnevezése: Bonyhádi Közös Önkormányzati Hivatal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Hivatalt a jegyző vezeti, aki munkáját a polgármesterek irányításával végzi. A polgármesterek irányítási jogosítványait a társulási megállapodás tartalmazza.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Hivatal dolgozóit a jegyző nevezi ki és gyakorolja velük szemben – az osztályvezetőkre átruházott munkáltatói jogok kivételével – a munkáltatói jogokat.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F90ED2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90ED2">
        <w:rPr>
          <w:b/>
          <w:sz w:val="28"/>
          <w:szCs w:val="28"/>
        </w:rPr>
        <w:t>II.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F90ED2" w:rsidRDefault="0062635A" w:rsidP="0062635A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</w:rPr>
        <w:t>A hivatal szervezete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A Hivatal engedélyezett létszám kerete: 55 álláshely.</w:t>
      </w: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A Hivatal szervezeti felépítése: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tbl>
      <w:tblPr>
        <w:tblW w:w="9212" w:type="dxa"/>
        <w:tblInd w:w="708" w:type="dxa"/>
        <w:tblLook w:val="01E0"/>
      </w:tblPr>
      <w:tblGrid>
        <w:gridCol w:w="4080"/>
        <w:gridCol w:w="5132"/>
      </w:tblGrid>
      <w:tr w:rsidR="0062635A" w:rsidTr="009F1575">
        <w:tc>
          <w:tcPr>
            <w:tcW w:w="4080" w:type="dxa"/>
          </w:tcPr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jegyző</w:t>
            </w:r>
          </w:p>
        </w:tc>
        <w:tc>
          <w:tcPr>
            <w:tcW w:w="5132" w:type="dxa"/>
          </w:tcPr>
          <w:p w:rsidR="0062635A" w:rsidRDefault="0062635A" w:rsidP="009F1575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62635A" w:rsidTr="009F1575">
        <w:tc>
          <w:tcPr>
            <w:tcW w:w="4080" w:type="dxa"/>
          </w:tcPr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aljegyző</w:t>
            </w:r>
          </w:p>
        </w:tc>
        <w:tc>
          <w:tcPr>
            <w:tcW w:w="5132" w:type="dxa"/>
          </w:tcPr>
          <w:p w:rsidR="0062635A" w:rsidRDefault="0062635A" w:rsidP="009F1575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62635A" w:rsidTr="009F1575">
        <w:tc>
          <w:tcPr>
            <w:tcW w:w="4080" w:type="dxa"/>
          </w:tcPr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belső ellenőr</w:t>
            </w:r>
          </w:p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referens</w:t>
            </w:r>
          </w:p>
        </w:tc>
        <w:tc>
          <w:tcPr>
            <w:tcW w:w="5132" w:type="dxa"/>
          </w:tcPr>
          <w:p w:rsidR="0062635A" w:rsidRDefault="0062635A" w:rsidP="009F1575">
            <w:pPr>
              <w:pStyle w:val="NormlWeb"/>
              <w:spacing w:before="0" w:beforeAutospacing="0" w:after="0"/>
            </w:pPr>
            <w:r>
              <w:t>2 álláshely</w:t>
            </w:r>
          </w:p>
          <w:p w:rsidR="0062635A" w:rsidRDefault="0062635A" w:rsidP="009F1575">
            <w:pPr>
              <w:pStyle w:val="NormlWeb"/>
              <w:spacing w:before="0" w:beforeAutospacing="0" w:after="0"/>
            </w:pPr>
            <w:r>
              <w:t>3 álláshely</w:t>
            </w:r>
          </w:p>
          <w:p w:rsidR="0062635A" w:rsidRDefault="0062635A" w:rsidP="009F1575">
            <w:pPr>
              <w:pStyle w:val="NormlWeb"/>
              <w:spacing w:before="0" w:beforeAutospacing="0" w:after="0"/>
              <w:ind w:left="-4068"/>
            </w:pPr>
          </w:p>
        </w:tc>
      </w:tr>
      <w:tr w:rsidR="0062635A" w:rsidTr="009F1575">
        <w:tc>
          <w:tcPr>
            <w:tcW w:w="4080" w:type="dxa"/>
          </w:tcPr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Hatósági Osztály</w:t>
            </w:r>
          </w:p>
        </w:tc>
        <w:tc>
          <w:tcPr>
            <w:tcW w:w="5132" w:type="dxa"/>
          </w:tcPr>
          <w:p w:rsidR="0062635A" w:rsidRDefault="0062635A" w:rsidP="009F1575">
            <w:pPr>
              <w:pStyle w:val="NormlWeb"/>
              <w:spacing w:before="0" w:beforeAutospacing="0" w:after="0"/>
            </w:pPr>
            <w:r>
              <w:t>8 álláshely</w:t>
            </w:r>
          </w:p>
        </w:tc>
      </w:tr>
      <w:tr w:rsidR="0062635A" w:rsidTr="009F1575">
        <w:tc>
          <w:tcPr>
            <w:tcW w:w="4080" w:type="dxa"/>
          </w:tcPr>
          <w:p w:rsidR="0062635A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t>Pénzügyi Osztály</w:t>
            </w:r>
          </w:p>
        </w:tc>
        <w:tc>
          <w:tcPr>
            <w:tcW w:w="5132" w:type="dxa"/>
          </w:tcPr>
          <w:p w:rsidR="0062635A" w:rsidRDefault="0062635A" w:rsidP="009F1575">
            <w:pPr>
              <w:pStyle w:val="NormlWeb"/>
              <w:spacing w:before="0" w:beforeAutospacing="0" w:after="0"/>
            </w:pPr>
            <w:r>
              <w:t>14 álláshely</w:t>
            </w:r>
          </w:p>
        </w:tc>
      </w:tr>
      <w:tr w:rsidR="0062635A" w:rsidTr="009F1575">
        <w:tc>
          <w:tcPr>
            <w:tcW w:w="4080" w:type="dxa"/>
          </w:tcPr>
          <w:p w:rsidR="0062635A" w:rsidRPr="00471FEF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 w:rsidRPr="00471FEF">
              <w:t>Titkársági Osztály</w:t>
            </w:r>
          </w:p>
        </w:tc>
        <w:tc>
          <w:tcPr>
            <w:tcW w:w="5132" w:type="dxa"/>
          </w:tcPr>
          <w:p w:rsidR="0062635A" w:rsidRDefault="0062635A" w:rsidP="009F1575">
            <w:pPr>
              <w:jc w:val="both"/>
            </w:pPr>
            <w:r>
              <w:t>18</w:t>
            </w:r>
            <w:r w:rsidRPr="00471FEF">
              <w:t xml:space="preserve"> álláshely</w:t>
            </w:r>
            <w:r>
              <w:t xml:space="preserve">, ebből 10 álláshely a társult </w:t>
            </w:r>
            <w:r>
              <w:lastRenderedPageBreak/>
              <w:t>települések ügyintézői az alábbiak szerint: Váraljai Iroda</w:t>
            </w:r>
            <w:r>
              <w:tab/>
              <w:t xml:space="preserve">2,5 álláshely, Izményi Iroda 1,5 álláshely, Kisvejkei Iroda 1 álláshely, Kismányoki Iroda 1 álláshely, Bonyhádvarasdi Iroda 1 álláshely, Kisdorogi Iroda 1,5 álláshely, Mőcsényi Iroda 1 álláshely, Grábóci Iroda </w:t>
            </w:r>
            <w:r w:rsidRPr="00510560">
              <w:t>0,5 álláshely</w:t>
            </w:r>
          </w:p>
          <w:p w:rsidR="0062635A" w:rsidRPr="00471FEF" w:rsidRDefault="0062635A" w:rsidP="009F1575">
            <w:pPr>
              <w:pStyle w:val="NormlWeb"/>
              <w:spacing w:before="0" w:beforeAutospacing="0" w:after="0"/>
            </w:pPr>
          </w:p>
        </w:tc>
      </w:tr>
      <w:tr w:rsidR="0062635A" w:rsidTr="009F1575">
        <w:tc>
          <w:tcPr>
            <w:tcW w:w="4080" w:type="dxa"/>
          </w:tcPr>
          <w:p w:rsidR="0062635A" w:rsidRPr="00471FEF" w:rsidRDefault="0062635A" w:rsidP="0062635A">
            <w:pPr>
              <w:pStyle w:val="NormlWeb"/>
              <w:numPr>
                <w:ilvl w:val="1"/>
                <w:numId w:val="2"/>
              </w:numPr>
              <w:spacing w:before="0" w:beforeAutospacing="0" w:after="0"/>
            </w:pPr>
            <w:r>
              <w:lastRenderedPageBreak/>
              <w:t>Műszaki Osztály</w:t>
            </w:r>
          </w:p>
        </w:tc>
        <w:tc>
          <w:tcPr>
            <w:tcW w:w="5132" w:type="dxa"/>
          </w:tcPr>
          <w:p w:rsidR="0062635A" w:rsidRPr="00471FEF" w:rsidRDefault="0062635A" w:rsidP="009F1575">
            <w:pPr>
              <w:pStyle w:val="NormlWeb"/>
              <w:spacing w:before="0" w:beforeAutospacing="0" w:after="0"/>
            </w:pPr>
            <w:r>
              <w:t>8</w:t>
            </w:r>
            <w:r w:rsidRPr="00471FEF">
              <w:t xml:space="preserve"> álláshely</w:t>
            </w:r>
          </w:p>
        </w:tc>
      </w:tr>
    </w:tbl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A Hivatal az alábbi belső szervezeti egységekre (osztályokra) tagozódik:</w:t>
      </w:r>
    </w:p>
    <w:p w:rsidR="0062635A" w:rsidRDefault="0062635A" w:rsidP="0062635A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Hatósági Osztály:</w:t>
      </w:r>
      <w:r>
        <w:tab/>
        <w:t>- szociálpolitikai csoport</w:t>
      </w: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  <w:r>
        <w:t xml:space="preserve">   </w:t>
      </w:r>
      <w:r>
        <w:tab/>
      </w:r>
      <w:r>
        <w:tab/>
      </w:r>
      <w:r>
        <w:tab/>
        <w:t xml:space="preserve">            - általános igazgatás</w:t>
      </w:r>
    </w:p>
    <w:p w:rsidR="0062635A" w:rsidRDefault="0062635A" w:rsidP="0062635A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Pénzügyi Osztály:</w:t>
      </w:r>
      <w:r>
        <w:tab/>
        <w:t>- adócsoport</w:t>
      </w: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  <w:r>
        <w:tab/>
      </w:r>
      <w:r>
        <w:tab/>
      </w:r>
      <w:r>
        <w:tab/>
      </w:r>
      <w:r>
        <w:tab/>
        <w:t>- költségvetési csoport</w:t>
      </w:r>
    </w:p>
    <w:p w:rsidR="0062635A" w:rsidRDefault="0062635A" w:rsidP="0062635A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Titkársági Osztály</w:t>
      </w:r>
    </w:p>
    <w:p w:rsidR="0062635A" w:rsidRDefault="0062635A" w:rsidP="0062635A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Műszaki Osztály</w:t>
      </w:r>
    </w:p>
    <w:p w:rsidR="0062635A" w:rsidRDefault="0062635A" w:rsidP="0062635A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Belső Ellenőrzés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Az osztályokat a jegyző által határozatlan időre kinevezett osztályvezetők vezetik.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Az osztályvezetők tevékenysége nem érinti a polgármesterek irányítási és a jegyző hivatalvezetői jogosítványait.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 xml:space="preserve">A referensek munkáját a polgármester irányításával az aljegyző szervezi és vezeti. 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4D4F6F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4D4F6F">
        <w:rPr>
          <w:b/>
          <w:sz w:val="28"/>
          <w:szCs w:val="28"/>
        </w:rPr>
        <w:t>III.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4D4F6F" w:rsidRDefault="0062635A" w:rsidP="0062635A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</w:t>
      </w:r>
      <w:r w:rsidRPr="004D4F6F">
        <w:rPr>
          <w:b/>
        </w:rPr>
        <w:t xml:space="preserve"> jegyző</w:t>
      </w:r>
      <w:r>
        <w:rPr>
          <w:b/>
        </w:rPr>
        <w:t xml:space="preserve"> és az aljegyző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A.</w:t>
      </w:r>
    </w:p>
    <w:p w:rsidR="0062635A" w:rsidRPr="002A1F29" w:rsidRDefault="0062635A" w:rsidP="0062635A">
      <w:pPr>
        <w:pStyle w:val="NormlWeb"/>
        <w:spacing w:before="0" w:beforeAutospacing="0" w:after="0"/>
        <w:jc w:val="center"/>
        <w:rPr>
          <w:b/>
        </w:rPr>
      </w:pP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  <w:r w:rsidRPr="000F23DB">
        <w:rPr>
          <w:b/>
          <w:u w:val="single"/>
        </w:rPr>
        <w:t>Jegyző</w:t>
      </w:r>
    </w:p>
    <w:p w:rsidR="0062635A" w:rsidRPr="000F23DB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3"/>
        </w:numPr>
        <w:spacing w:before="0" w:beforeAutospacing="0" w:after="0"/>
        <w:jc w:val="both"/>
      </w:pPr>
      <w:r>
        <w:t>A jegyző vezeti a közös önkormányzati hivatalt, és szakmailag felelős a Hivatal működéséért.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>(2) A jegyzőt a</w:t>
      </w:r>
      <w:r w:rsidRPr="00DB45D4">
        <w:t xml:space="preserve"> </w:t>
      </w:r>
      <w:r>
        <w:t>polgármesterek a társulási megállapodásban meghatározottak szerint nevezik    ki. Az egyéb munkáltatói jogokat Bonyhád Város polgármestere gyakorolja.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>(3) Feladatait az Mötv., valamint az ágazati törvények és jogszabályok alapján végzi.</w:t>
      </w:r>
    </w:p>
    <w:p w:rsidR="0062635A" w:rsidRDefault="0062635A" w:rsidP="0062635A">
      <w:pPr>
        <w:pStyle w:val="NormlWeb"/>
        <w:spacing w:before="0" w:beforeAutospacing="0" w:after="0"/>
        <w:ind w:firstLine="391"/>
        <w:jc w:val="both"/>
      </w:pPr>
      <w:r>
        <w:t>Fő feladatai: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Dönt a jogszabály által hatáskörébe utalt államigazgatási ügyekben.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Gyakorolja a munkáltatói jogokat a közös önkormányzati hivatal köztisztviselői és munkavállalói tekintetében, gyakorolja az egyéb munkáltatói jogokat az aljegyző tekintetében.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Gondoskodik az önkormányzatok működésével kapcsolatos feladatok ellátásáról.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lastRenderedPageBreak/>
        <w:t>Tanácskozási joggal részt vesz ő vagy megbízottja a képviselő-testületek és bizottságok ülésein.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Jelzi a képviselő-testületeknek, a képviselő-testületek szerveinek és a polgármestereknek, ha döntésük, működésük jogszabálysértő.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Évente beszámol a képviselő-testületeknek a Hivatal tevékenységéről.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Döntésre előkészíti a polgármesterek hatáskörébe tartozó államigazgatási ügyeket.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Dönt azokban a hatósági ügyekben, amelyeket a polgármesterek átruháznak.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Dönt a hatáskörébe utalt önkormányzati és önkormányzati hatósági ügyekben.</w:t>
      </w:r>
    </w:p>
    <w:p w:rsidR="0062635A" w:rsidRDefault="0062635A" w:rsidP="0062635A">
      <w:pPr>
        <w:pStyle w:val="NormlWeb"/>
        <w:numPr>
          <w:ilvl w:val="1"/>
          <w:numId w:val="3"/>
        </w:numPr>
        <w:spacing w:before="0" w:beforeAutospacing="0" w:after="0"/>
        <w:jc w:val="both"/>
      </w:pPr>
      <w:r>
        <w:t>A hatáskörébe tartozó ügyekben szabályozza a kiadmányozás rendjét.</w:t>
      </w: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</w:p>
    <w:p w:rsidR="0062635A" w:rsidRPr="000F176D" w:rsidRDefault="0062635A" w:rsidP="0062635A">
      <w:pPr>
        <w:pStyle w:val="NormlWeb"/>
        <w:spacing w:before="0" w:beforeAutospacing="0" w:after="0"/>
        <w:jc w:val="center"/>
        <w:rPr>
          <w:b/>
        </w:rPr>
      </w:pPr>
      <w:r w:rsidRPr="000F176D">
        <w:rPr>
          <w:b/>
        </w:rPr>
        <w:t>B</w:t>
      </w:r>
      <w:r>
        <w:rPr>
          <w:b/>
        </w:rPr>
        <w:t>.</w:t>
      </w:r>
    </w:p>
    <w:p w:rsidR="0062635A" w:rsidRPr="000F176D" w:rsidRDefault="0062635A" w:rsidP="0062635A">
      <w:pPr>
        <w:pStyle w:val="NormlWeb"/>
        <w:spacing w:before="0" w:beforeAutospacing="0" w:after="0"/>
        <w:jc w:val="center"/>
        <w:rPr>
          <w:b/>
        </w:rPr>
      </w:pP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  <w:r w:rsidRPr="000F176D">
        <w:rPr>
          <w:b/>
          <w:u w:val="single"/>
        </w:rPr>
        <w:t>Az aljegyző</w:t>
      </w:r>
    </w:p>
    <w:p w:rsidR="0062635A" w:rsidRPr="000F176D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 xml:space="preserve">(1) A jegyzőt az aljegyző helyettesíti, és ellátja a jegyző által meghatározott feladatokat. </w:t>
      </w:r>
    </w:p>
    <w:p w:rsidR="0062635A" w:rsidRDefault="0062635A" w:rsidP="0062635A">
      <w:pPr>
        <w:pStyle w:val="NormlWeb"/>
        <w:spacing w:before="0" w:beforeAutospacing="0" w:after="0"/>
        <w:ind w:left="434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>(2) A polgármesterek a társulási megállapodásban meghatározottak szerint nevezik ki az aljegyzőt. Az aljegyzői kinevezés vezetői megbízásnak minősül, alkalmazni kell a közszolgálati tisztviselőkről szóló vezetői megbízásra vonatkozó rendelkezéseit. Az egyéb munkáltatói jogokat a jegyző gyakorolja.</w:t>
      </w:r>
    </w:p>
    <w:p w:rsidR="0062635A" w:rsidRDefault="0062635A" w:rsidP="0062635A">
      <w:pPr>
        <w:pStyle w:val="NormlWeb"/>
        <w:spacing w:before="0" w:beforeAutospacing="0" w:after="0"/>
        <w:ind w:left="434"/>
        <w:jc w:val="both"/>
      </w:pPr>
    </w:p>
    <w:p w:rsidR="0062635A" w:rsidRDefault="0062635A" w:rsidP="0062635A">
      <w:pPr>
        <w:pStyle w:val="NormlWeb"/>
        <w:spacing w:before="0" w:beforeAutospacing="0" w:after="0"/>
        <w:ind w:left="434"/>
        <w:jc w:val="both"/>
      </w:pPr>
    </w:p>
    <w:p w:rsidR="0062635A" w:rsidRDefault="0062635A" w:rsidP="0062635A">
      <w:pPr>
        <w:pStyle w:val="NormlWeb"/>
        <w:spacing w:before="0" w:beforeAutospacing="0" w:after="0"/>
        <w:ind w:left="434"/>
        <w:jc w:val="both"/>
      </w:pPr>
    </w:p>
    <w:p w:rsidR="0062635A" w:rsidRPr="00FC2738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C2738">
        <w:rPr>
          <w:b/>
          <w:sz w:val="28"/>
          <w:szCs w:val="28"/>
        </w:rPr>
        <w:t>V.</w:t>
      </w:r>
    </w:p>
    <w:p w:rsidR="0062635A" w:rsidRPr="00FC2738" w:rsidRDefault="0062635A" w:rsidP="0062635A">
      <w:pPr>
        <w:pStyle w:val="NormlWeb"/>
        <w:spacing w:before="0" w:beforeAutospacing="0" w:after="0"/>
        <w:jc w:val="center"/>
        <w:rPr>
          <w:b/>
        </w:rPr>
      </w:pPr>
    </w:p>
    <w:p w:rsidR="0062635A" w:rsidRPr="00FC2738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Osztályvezetők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Az egységes hivatal belső szervezeti egysége – az osztály – élén osztályvezető áll, aki az osztály feladatainak színvonalas ellátásáról gondoskodik.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4"/>
        </w:numPr>
        <w:tabs>
          <w:tab w:val="clear" w:pos="391"/>
          <w:tab w:val="num" w:pos="0"/>
        </w:tabs>
        <w:spacing w:before="0" w:beforeAutospacing="0" w:after="0"/>
        <w:ind w:left="0" w:firstLine="0"/>
        <w:jc w:val="both"/>
      </w:pPr>
      <w:r>
        <w:t>Az osztályvezető főbb általános feladatai: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meghatározza, ellenőrzi és felügyeli az irányítása alá tartozó dolgozók munkáját, munkaköri leírásba foglalja feladataikat, gondoskodik annak naprakészségéről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beszámol a jegyzőnek az osztály munkájáról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ind w:hanging="29"/>
        <w:jc w:val="both"/>
      </w:pPr>
      <w:r>
        <w:t>részt vesz a vezetői értekezleteken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szükség szerint munkamegbeszélést tart az osztály dolgozói részére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az osztályra érkező ügyiratokat szignálja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gyakorolja a részére átruházott kiadmányozási jogkört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gyakorolja a jegyző által átruházott munkáltatói jogkört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javaslatot tesz, véleményt mond az osztály dolgozóinak kinevezése, felmentési, áthelyezési, jutalmazási, kitüntetési, béremelési, fegyelmi és kártérítési ügyében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közreműködik az osztály megfelelő személyi feltételeinek kialakításában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együttműködik a hivatal más osztályaival</w:t>
      </w:r>
    </w:p>
    <w:p w:rsidR="0062635A" w:rsidRDefault="0062635A" w:rsidP="0062635A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kapcsolatot tart a feladataihoz kapcsolódó intézményekkel, gazdálkodó szervekkel.</w:t>
      </w: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>(3) A jegyző az alábbi munkáltatói jogokat az osztályvezetőkre ruházza át: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4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szabadság engedélyezése</w:t>
      </w:r>
    </w:p>
    <w:p w:rsidR="0062635A" w:rsidRDefault="0062635A" w:rsidP="0062635A">
      <w:pPr>
        <w:pStyle w:val="NormlWeb"/>
        <w:numPr>
          <w:ilvl w:val="0"/>
          <w:numId w:val="14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munkaidőben rövidebb idejű magáncélú távollét engedélyezése</w:t>
      </w:r>
    </w:p>
    <w:p w:rsidR="0062635A" w:rsidRDefault="0062635A" w:rsidP="0062635A">
      <w:pPr>
        <w:pStyle w:val="NormlWeb"/>
        <w:numPr>
          <w:ilvl w:val="0"/>
          <w:numId w:val="14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tanfolyamon, továbbképzésen, konferencián való részvétel engedélyezése</w:t>
      </w:r>
    </w:p>
    <w:p w:rsidR="0062635A" w:rsidRDefault="0062635A" w:rsidP="0062635A">
      <w:pPr>
        <w:pStyle w:val="NormlWeb"/>
        <w:numPr>
          <w:ilvl w:val="0"/>
          <w:numId w:val="14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teljesítményértékelés, minősítés előkészítése, abban való közreműködése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C2738">
        <w:rPr>
          <w:b/>
          <w:sz w:val="28"/>
          <w:szCs w:val="28"/>
        </w:rPr>
        <w:t>V.</w:t>
      </w:r>
    </w:p>
    <w:p w:rsidR="0062635A" w:rsidRPr="00FC2738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62635A" w:rsidRPr="00FC2738" w:rsidRDefault="0062635A" w:rsidP="0062635A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Az egyes osztályok feladatai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5"/>
        </w:numPr>
        <w:spacing w:before="0" w:beforeAutospacing="0" w:after="0"/>
        <w:jc w:val="both"/>
      </w:pPr>
      <w:r w:rsidRPr="00D21E47">
        <w:rPr>
          <w:b/>
        </w:rPr>
        <w:t>Hatósági osztály</w:t>
      </w:r>
      <w:r>
        <w:t xml:space="preserve"> ellátja az önkormányzat feladatkörébe tartozó alábbi hatósági feladatokat. Munkájukat a következő feladatcsoportokban végzik: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általános igazgatás területén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anyakönyvi, állampolgársági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szociális bérlakások bérlő kijelölésével kapcsolatos feladatok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birtokvédelmi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honvédelmi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hagyatéki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mezőgazdasággal kapcsolatos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ipar, kereskedelemmel összefüggő ügyek</w:t>
      </w:r>
    </w:p>
    <w:p w:rsidR="0062635A" w:rsidRDefault="0062635A" w:rsidP="0062635A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hatósági bizonyítványokkal kapcsolatos ügyek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ind w:left="1260" w:hanging="180"/>
        <w:jc w:val="both"/>
      </w:pPr>
      <w:r>
        <w:t xml:space="preserve"> b.) Szociálpolitikával összefüggő önkormányzati feladatok ellátása.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D21E47" w:rsidRDefault="0062635A" w:rsidP="0062635A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Pénzügyi osztály</w:t>
      </w:r>
    </w:p>
    <w:p w:rsidR="0062635A" w:rsidRDefault="0062635A" w:rsidP="0062635A">
      <w:pPr>
        <w:pStyle w:val="NormlWeb"/>
        <w:numPr>
          <w:ilvl w:val="1"/>
          <w:numId w:val="7"/>
        </w:numPr>
        <w:spacing w:before="0" w:beforeAutospacing="0" w:after="0"/>
        <w:jc w:val="both"/>
      </w:pPr>
      <w:r>
        <w:t>az önkormányzati költségvetési, gazdálkodási feladatok ellátása (terezés, nyilvántartás, pénzügyi műveletek)</w:t>
      </w:r>
    </w:p>
    <w:p w:rsidR="0062635A" w:rsidRDefault="0062635A" w:rsidP="0062635A">
      <w:pPr>
        <w:pStyle w:val="NormlWeb"/>
        <w:numPr>
          <w:ilvl w:val="1"/>
          <w:numId w:val="7"/>
        </w:numPr>
        <w:spacing w:before="0" w:beforeAutospacing="0" w:after="0"/>
        <w:jc w:val="both"/>
      </w:pPr>
      <w:r>
        <w:t>gondnoki feladatok ellátása</w:t>
      </w:r>
    </w:p>
    <w:p w:rsidR="0062635A" w:rsidRDefault="0062635A" w:rsidP="0062635A">
      <w:pPr>
        <w:pStyle w:val="NormlWeb"/>
        <w:numPr>
          <w:ilvl w:val="1"/>
          <w:numId w:val="7"/>
        </w:numPr>
        <w:spacing w:before="0" w:beforeAutospacing="0" w:after="0"/>
        <w:jc w:val="both"/>
      </w:pPr>
      <w:r>
        <w:t>adóigazgatási feladatok (ellátják az önkormányzat adóbevételével kapcsolatos eljárási – adminisztrációs feladatokat), idegen helyről kimutatott tartozások behajtása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D21E47" w:rsidRDefault="0062635A" w:rsidP="0062635A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Titkársági osztály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az önkormányzat működésével kapcsolatos szervezési feladatok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igazgatásszervezéssel, az önkormányzati működés fejlesztésével, racionalizálásával kapcsolatos feladatok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a teljes körű személyzeti és képzési feladatok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előkészíti és szervezi a különböző értekezleteket, fórumokat, rendezvényeket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az oktatási és közművelődési feladatok ellátása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ifjúsági és sportfeladatok ellátása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népszavazással, népi kezdeményezéssel, valamint országgyűlési és önkormányzati képviselői választásokkal, európai parlamenti képviselő választásokkal kapcsolatos feladatok ellátása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központi iktatás és ügyiratkezeléssel összefüggő feladatok</w:t>
      </w:r>
    </w:p>
    <w:p w:rsidR="0062635A" w:rsidRDefault="0062635A" w:rsidP="0062635A">
      <w:pPr>
        <w:pStyle w:val="NormlWeb"/>
        <w:numPr>
          <w:ilvl w:val="0"/>
          <w:numId w:val="8"/>
        </w:numPr>
        <w:spacing w:before="0" w:beforeAutospacing="0" w:after="0"/>
        <w:jc w:val="both"/>
      </w:pPr>
      <w:r>
        <w:t>a hivatal informatikai feladatai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D21E47" w:rsidRDefault="0062635A" w:rsidP="0062635A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>
        <w:rPr>
          <w:b/>
        </w:rPr>
        <w:t>Műszaki</w:t>
      </w:r>
      <w:r w:rsidRPr="00D21E47">
        <w:rPr>
          <w:b/>
        </w:rPr>
        <w:t xml:space="preserve"> Osztály</w:t>
      </w:r>
    </w:p>
    <w:p w:rsidR="0062635A" w:rsidRDefault="0062635A" w:rsidP="0062635A">
      <w:pPr>
        <w:pStyle w:val="NormlWeb"/>
        <w:numPr>
          <w:ilvl w:val="0"/>
          <w:numId w:val="9"/>
        </w:numPr>
        <w:spacing w:before="0" w:beforeAutospacing="0" w:after="0"/>
        <w:jc w:val="both"/>
      </w:pPr>
      <w:r>
        <w:t>településfejlesztés és rendezés operatív végrehajtási feladatai, az önkormányzati beruházások és felújítások előkészítése és lebonyolítása</w:t>
      </w:r>
    </w:p>
    <w:p w:rsidR="0062635A" w:rsidRDefault="0062635A" w:rsidP="0062635A">
      <w:pPr>
        <w:pStyle w:val="NormlWeb"/>
        <w:numPr>
          <w:ilvl w:val="0"/>
          <w:numId w:val="9"/>
        </w:numPr>
        <w:spacing w:before="0" w:beforeAutospacing="0" w:after="0"/>
        <w:jc w:val="both"/>
      </w:pPr>
      <w:r>
        <w:t>városüzemeltetési, műszaki közszolgáltatások szervezéssel kapcsolatos feladatok</w:t>
      </w:r>
    </w:p>
    <w:p w:rsidR="0062635A" w:rsidRDefault="0062635A" w:rsidP="0062635A">
      <w:pPr>
        <w:pStyle w:val="NormlWeb"/>
        <w:numPr>
          <w:ilvl w:val="0"/>
          <w:numId w:val="9"/>
        </w:numPr>
        <w:spacing w:before="0" w:beforeAutospacing="0" w:after="0"/>
        <w:jc w:val="both"/>
      </w:pPr>
      <w:r>
        <w:t>lakás- és helyiséggazdálkodással kapcsolatos feladatok (kivéve a szociális bérlakások bérlőkijelölési feladatait)</w:t>
      </w:r>
    </w:p>
    <w:p w:rsidR="0062635A" w:rsidRDefault="0062635A" w:rsidP="0062635A">
      <w:pPr>
        <w:pStyle w:val="NormlWeb"/>
        <w:numPr>
          <w:ilvl w:val="0"/>
          <w:numId w:val="9"/>
        </w:numPr>
        <w:spacing w:before="0" w:beforeAutospacing="0" w:after="0"/>
        <w:jc w:val="both"/>
      </w:pPr>
      <w:r>
        <w:t>közterület-felügyelettel kapcsolatos feladatok ellátása</w:t>
      </w:r>
    </w:p>
    <w:p w:rsidR="0062635A" w:rsidRDefault="0062635A" w:rsidP="0062635A">
      <w:pPr>
        <w:pStyle w:val="NormlWeb"/>
        <w:spacing w:before="0" w:beforeAutospacing="0" w:after="0"/>
        <w:ind w:left="1065"/>
        <w:jc w:val="both"/>
      </w:pPr>
    </w:p>
    <w:p w:rsidR="0062635A" w:rsidRPr="00343D59" w:rsidRDefault="0062635A" w:rsidP="0062635A">
      <w:pPr>
        <w:pStyle w:val="NormlWeb"/>
        <w:spacing w:before="0" w:beforeAutospacing="0" w:after="0"/>
        <w:ind w:left="1260" w:hanging="180"/>
        <w:jc w:val="both"/>
      </w:pPr>
      <w:r w:rsidRPr="00343D59">
        <w:t>Építésügyi igazgatás területén</w:t>
      </w:r>
    </w:p>
    <w:p w:rsidR="0062635A" w:rsidRDefault="0062635A" w:rsidP="0062635A">
      <w:pPr>
        <w:pStyle w:val="NormlWeb"/>
        <w:spacing w:before="0" w:beforeAutospacing="0" w:after="0"/>
        <w:ind w:left="1440" w:hanging="180"/>
        <w:jc w:val="both"/>
      </w:pPr>
      <w:r>
        <w:t>- első fokú építésügyi hatósági feladatok ellátása 25 település közigazgatási területén</w:t>
      </w:r>
    </w:p>
    <w:p w:rsidR="0062635A" w:rsidRDefault="0062635A" w:rsidP="0062635A">
      <w:pPr>
        <w:pStyle w:val="NormlWeb"/>
        <w:spacing w:before="0" w:beforeAutospacing="0" w:after="0"/>
        <w:ind w:left="1260"/>
        <w:jc w:val="both"/>
      </w:pPr>
      <w:r>
        <w:t>- vízügyi igazgatással összefüggő hatósági feladatok</w:t>
      </w:r>
    </w:p>
    <w:p w:rsidR="0062635A" w:rsidRDefault="0062635A" w:rsidP="0062635A">
      <w:pPr>
        <w:pStyle w:val="NormlWeb"/>
        <w:spacing w:before="0" w:beforeAutospacing="0" w:after="0"/>
        <w:ind w:left="1260"/>
        <w:jc w:val="both"/>
      </w:pPr>
      <w:r>
        <w:t>- közlekedési igazgatással összefüggő hatósági feladatok</w:t>
      </w:r>
    </w:p>
    <w:p w:rsidR="0062635A" w:rsidRDefault="0062635A" w:rsidP="0062635A">
      <w:pPr>
        <w:pStyle w:val="NormlWeb"/>
        <w:spacing w:before="0" w:beforeAutospacing="0" w:after="0"/>
        <w:ind w:left="1260"/>
        <w:jc w:val="both"/>
      </w:pPr>
      <w:r>
        <w:t>- környezetvédelmi igazgatással összefüggő hatósági feladatok</w:t>
      </w:r>
    </w:p>
    <w:p w:rsidR="0062635A" w:rsidRDefault="0062635A" w:rsidP="0062635A">
      <w:pPr>
        <w:pStyle w:val="NormlWeb"/>
        <w:spacing w:before="0" w:beforeAutospacing="0" w:after="0"/>
        <w:ind w:left="1260"/>
        <w:jc w:val="both"/>
      </w:pPr>
      <w:r>
        <w:t>- a tervtár kezelése</w:t>
      </w: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    - településrendezési feladatok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  <w:r w:rsidRPr="00993947">
        <w:rPr>
          <w:b/>
        </w:rPr>
        <w:t>(5) Társult települések telephelyein ellátandó feladat</w:t>
      </w:r>
      <w:r>
        <w:rPr>
          <w:b/>
        </w:rPr>
        <w:t>ok</w:t>
      </w: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a.) Önkormányzatok gazdálkodásával kapcsolatos feladatok (Grábóc és Kisvejke </w:t>
      </w:r>
      <w:r>
        <w:tab/>
      </w:r>
      <w:r>
        <w:tab/>
        <w:t xml:space="preserve">kivételével, akiknek gazdálkodási feladatait a székhelytelepülésen egy </w:t>
      </w:r>
      <w:r>
        <w:tab/>
      </w:r>
      <w:r>
        <w:tab/>
      </w:r>
      <w:r>
        <w:tab/>
        <w:t>ügyintéző látja el.)</w:t>
      </w: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b.) anyakönyvi ügyintézés</w:t>
      </w:r>
    </w:p>
    <w:p w:rsidR="0062635A" w:rsidRPr="00993947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c.) kérelmek átvétele, megfelelő felszerelése és továbbítása</w:t>
      </w: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d.) szociális ellátásokkal kapcsolatos kifizetések </w:t>
      </w: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e.) közfoglalkoztatással kapcsolatos feladatok</w:t>
      </w: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      f.) iktatás, ügyiratkezelés.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D55A8">
        <w:rPr>
          <w:b/>
          <w:sz w:val="28"/>
          <w:szCs w:val="28"/>
        </w:rPr>
        <w:t>VI.</w:t>
      </w:r>
    </w:p>
    <w:p w:rsidR="0062635A" w:rsidRPr="00FD55A8" w:rsidRDefault="0062635A" w:rsidP="0062635A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62635A" w:rsidRPr="00FD55A8" w:rsidRDefault="0062635A" w:rsidP="0062635A">
      <w:pPr>
        <w:pStyle w:val="NormlWeb"/>
        <w:spacing w:before="0" w:beforeAutospacing="0" w:after="0"/>
        <w:jc w:val="center"/>
        <w:rPr>
          <w:b/>
        </w:rPr>
      </w:pPr>
      <w:r w:rsidRPr="00FD55A8">
        <w:rPr>
          <w:b/>
        </w:rPr>
        <w:t>A hivatal működése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7A7113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1.) </w:t>
      </w:r>
      <w:r w:rsidRPr="007A7113">
        <w:rPr>
          <w:b/>
        </w:rPr>
        <w:t>A munkarend: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ind w:firstLine="708"/>
        <w:jc w:val="both"/>
      </w:pPr>
      <w:r>
        <w:t>a hivatal dolgozóinak munkaideje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/>
      </w:tblPr>
      <w:tblGrid>
        <w:gridCol w:w="3405"/>
        <w:gridCol w:w="4787"/>
      </w:tblGrid>
      <w:tr w:rsidR="0062635A" w:rsidRPr="00FB3FB3" w:rsidTr="009F1575">
        <w:tc>
          <w:tcPr>
            <w:tcW w:w="3405" w:type="dxa"/>
          </w:tcPr>
          <w:p w:rsidR="0062635A" w:rsidRPr="00FB3FB3" w:rsidRDefault="0062635A" w:rsidP="009F1575">
            <w:pPr>
              <w:pStyle w:val="NormlWeb"/>
              <w:spacing w:before="0" w:beforeAutospacing="0" w:after="0"/>
              <w:jc w:val="both"/>
            </w:pPr>
            <w:r w:rsidRPr="00FB3FB3">
              <w:t xml:space="preserve">hétfőtől – csütörtökig </w:t>
            </w:r>
          </w:p>
        </w:tc>
        <w:tc>
          <w:tcPr>
            <w:tcW w:w="4787" w:type="dxa"/>
          </w:tcPr>
          <w:p w:rsidR="0062635A" w:rsidRPr="00FB3FB3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7.30 – 16.15 óráig</w:t>
            </w:r>
          </w:p>
        </w:tc>
      </w:tr>
      <w:tr w:rsidR="0062635A" w:rsidRPr="00FB3FB3" w:rsidTr="009F1575">
        <w:tc>
          <w:tcPr>
            <w:tcW w:w="3405" w:type="dxa"/>
          </w:tcPr>
          <w:p w:rsidR="0062635A" w:rsidRPr="00FB3FB3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pénteken</w:t>
            </w:r>
          </w:p>
        </w:tc>
        <w:tc>
          <w:tcPr>
            <w:tcW w:w="4787" w:type="dxa"/>
          </w:tcPr>
          <w:p w:rsidR="0062635A" w:rsidRPr="00FB3FB3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7.30 – 13.00 óráig</w:t>
            </w:r>
          </w:p>
        </w:tc>
      </w:tr>
    </w:tbl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ind w:left="708"/>
        <w:jc w:val="both"/>
      </w:pPr>
      <w:r>
        <w:t>tart, mely magában foglalja az ebédidőt is (45 perc). Ebédidő hétfőtől csütörtökig:  12.00 órától 12.45 óráig, pénteken 13.00 órától. Az ebédidőből 30 perc beszámít a munkaidőbe.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7A7113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2.) </w:t>
      </w:r>
      <w:r w:rsidRPr="007A7113">
        <w:rPr>
          <w:b/>
        </w:rPr>
        <w:t>Az ügyfélfogadás rendje: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lastRenderedPageBreak/>
        <w:t>A közös hivatal székhelyén az ügyfélfogadási rendje: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/>
      </w:tblPr>
      <w:tblGrid>
        <w:gridCol w:w="3586"/>
        <w:gridCol w:w="4606"/>
      </w:tblGrid>
      <w:tr w:rsidR="0062635A" w:rsidTr="009F1575">
        <w:tc>
          <w:tcPr>
            <w:tcW w:w="358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Hétfő: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62635A" w:rsidTr="009F1575">
        <w:tc>
          <w:tcPr>
            <w:tcW w:w="358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Kedd: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62635A" w:rsidTr="009F1575">
        <w:tc>
          <w:tcPr>
            <w:tcW w:w="358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Szerda: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62635A" w:rsidTr="009F1575">
        <w:tc>
          <w:tcPr>
            <w:tcW w:w="358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Csütörtök: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62635A" w:rsidTr="009F1575">
        <w:tc>
          <w:tcPr>
            <w:tcW w:w="358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Péntek: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</w:tbl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 xml:space="preserve">A társult településeken: </w:t>
      </w:r>
    </w:p>
    <w:p w:rsidR="0062635A" w:rsidRPr="000061DA" w:rsidRDefault="0062635A" w:rsidP="0062635A">
      <w:pPr>
        <w:pStyle w:val="NormlWeb"/>
        <w:spacing w:before="0" w:beforeAutospacing="0" w:after="0"/>
        <w:jc w:val="both"/>
      </w:pPr>
    </w:p>
    <w:p w:rsidR="0062635A" w:rsidRPr="000061DA" w:rsidRDefault="0062635A" w:rsidP="0062635A">
      <w:pPr>
        <w:pStyle w:val="NormlWeb"/>
        <w:spacing w:before="0" w:beforeAutospacing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0"/>
        <w:gridCol w:w="1401"/>
        <w:gridCol w:w="1504"/>
        <w:gridCol w:w="1534"/>
        <w:gridCol w:w="1606"/>
        <w:gridCol w:w="1533"/>
      </w:tblGrid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Hétfő</w:t>
            </w:r>
          </w:p>
        </w:tc>
        <w:tc>
          <w:tcPr>
            <w:tcW w:w="153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Szerda</w:t>
            </w:r>
          </w:p>
        </w:tc>
        <w:tc>
          <w:tcPr>
            <w:tcW w:w="1628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Péntek</w:t>
            </w: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Bonyhádvarasd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628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>
              <w:t>08:00-12</w:t>
            </w:r>
            <w:r w:rsidRPr="00EE7022">
              <w:t>:00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Grábóc</w:t>
            </w:r>
          </w:p>
        </w:tc>
        <w:tc>
          <w:tcPr>
            <w:tcW w:w="1429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>
              <w:t>09:00-12</w:t>
            </w:r>
            <w:r w:rsidRPr="00EE7022">
              <w:t>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08:00-10:00</w:t>
            </w:r>
          </w:p>
        </w:tc>
        <w:tc>
          <w:tcPr>
            <w:tcW w:w="1628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07:30-12:00</w:t>
            </w:r>
          </w:p>
        </w:tc>
        <w:tc>
          <w:tcPr>
            <w:tcW w:w="1628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Kisdorog</w:t>
            </w:r>
          </w:p>
        </w:tc>
        <w:tc>
          <w:tcPr>
            <w:tcW w:w="1429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Kismányok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628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07.30-09:00</w:t>
            </w: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Kisvejke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BFBFBF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07:30-12:00</w:t>
            </w:r>
          </w:p>
        </w:tc>
        <w:tc>
          <w:tcPr>
            <w:tcW w:w="1567" w:type="dxa"/>
            <w:shd w:val="clear" w:color="auto" w:fill="BFBFBF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628" w:type="dxa"/>
            <w:shd w:val="clear" w:color="auto" w:fill="FFFFFF"/>
          </w:tcPr>
          <w:p w:rsidR="0062635A" w:rsidRPr="00EE7022" w:rsidRDefault="0062635A" w:rsidP="009F1575">
            <w:pPr>
              <w:adjustRightInd w:val="0"/>
            </w:pPr>
            <w:r>
              <w:t>13.00-16.00</w:t>
            </w:r>
          </w:p>
        </w:tc>
        <w:tc>
          <w:tcPr>
            <w:tcW w:w="1566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Mőcsény</w:t>
            </w:r>
          </w:p>
        </w:tc>
        <w:tc>
          <w:tcPr>
            <w:tcW w:w="1429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10:00-12:00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</w:tr>
      <w:tr w:rsidR="0062635A" w:rsidRPr="00EE7022" w:rsidTr="009F1575">
        <w:tc>
          <w:tcPr>
            <w:tcW w:w="1561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Váralja</w:t>
            </w:r>
          </w:p>
        </w:tc>
        <w:tc>
          <w:tcPr>
            <w:tcW w:w="1429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>
              <w:t>13:00-16</w:t>
            </w:r>
            <w:r w:rsidRPr="00EE7022">
              <w:t>:00</w:t>
            </w:r>
          </w:p>
        </w:tc>
        <w:tc>
          <w:tcPr>
            <w:tcW w:w="1537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67" w:type="dxa"/>
            <w:shd w:val="clear" w:color="auto" w:fill="auto"/>
          </w:tcPr>
          <w:p w:rsidR="0062635A" w:rsidRPr="00EE7022" w:rsidRDefault="0062635A" w:rsidP="009F1575">
            <w:pPr>
              <w:adjustRightInd w:val="0"/>
            </w:pPr>
            <w:r w:rsidRPr="00EE7022"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62635A" w:rsidRPr="00EE7022" w:rsidRDefault="0062635A" w:rsidP="009F1575">
            <w:pPr>
              <w:adjustRightInd w:val="0"/>
            </w:pPr>
          </w:p>
        </w:tc>
        <w:tc>
          <w:tcPr>
            <w:tcW w:w="1566" w:type="dxa"/>
            <w:shd w:val="clear" w:color="auto" w:fill="FFFFFF"/>
          </w:tcPr>
          <w:p w:rsidR="0062635A" w:rsidRPr="00EE7022" w:rsidRDefault="0062635A" w:rsidP="009F1575">
            <w:pPr>
              <w:adjustRightInd w:val="0"/>
            </w:pPr>
            <w:r w:rsidRPr="00EE7022">
              <w:t>07:30-12:00</w:t>
            </w:r>
          </w:p>
        </w:tc>
      </w:tr>
    </w:tbl>
    <w:p w:rsidR="0062635A" w:rsidRDefault="0062635A" w:rsidP="0062635A">
      <w:pPr>
        <w:pStyle w:val="NormlWeb"/>
        <w:spacing w:before="0" w:beforeAutospacing="0" w:after="0"/>
        <w:ind w:firstLine="397"/>
        <w:jc w:val="both"/>
      </w:pPr>
    </w:p>
    <w:p w:rsidR="0062635A" w:rsidRDefault="0062635A" w:rsidP="0062635A">
      <w:pPr>
        <w:pStyle w:val="NormlWeb"/>
        <w:spacing w:before="0" w:beforeAutospacing="0" w:after="0"/>
        <w:ind w:firstLine="397"/>
        <w:jc w:val="both"/>
      </w:pPr>
    </w:p>
    <w:p w:rsidR="0062635A" w:rsidRDefault="0062635A" w:rsidP="0062635A">
      <w:pPr>
        <w:pStyle w:val="NormlWeb"/>
        <w:spacing w:before="0" w:beforeAutospacing="0" w:after="0"/>
        <w:ind w:firstLine="397"/>
        <w:jc w:val="both"/>
      </w:pPr>
      <w:r>
        <w:t>c.) A jegyző ügyfélfogadási rendje a Bonyhád városban: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tbl>
      <w:tblPr>
        <w:tblW w:w="0" w:type="auto"/>
        <w:tblInd w:w="1728" w:type="dxa"/>
        <w:tblLook w:val="01E0"/>
      </w:tblPr>
      <w:tblGrid>
        <w:gridCol w:w="2878"/>
        <w:gridCol w:w="4606"/>
      </w:tblGrid>
      <w:tr w:rsidR="0062635A" w:rsidTr="009F1575">
        <w:tc>
          <w:tcPr>
            <w:tcW w:w="2878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Hétfőn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13.00-16.00 óráig</w:t>
            </w:r>
          </w:p>
        </w:tc>
      </w:tr>
      <w:tr w:rsidR="0062635A" w:rsidTr="009F1575">
        <w:tc>
          <w:tcPr>
            <w:tcW w:w="2878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Szerdán</w:t>
            </w:r>
          </w:p>
        </w:tc>
        <w:tc>
          <w:tcPr>
            <w:tcW w:w="4606" w:type="dxa"/>
          </w:tcPr>
          <w:p w:rsidR="0062635A" w:rsidRDefault="0062635A" w:rsidP="009F1575">
            <w:pPr>
              <w:pStyle w:val="NormlWeb"/>
              <w:spacing w:before="0" w:beforeAutospacing="0" w:after="0"/>
              <w:jc w:val="both"/>
            </w:pPr>
            <w:r>
              <w:t>8.00-10.00 és 14.00-16.00 óráig</w:t>
            </w:r>
          </w:p>
        </w:tc>
      </w:tr>
    </w:tbl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>d.) A települési képviselőket soron kívül, bármikor munkaidőben, az önkormányzat intézményeinek vezetőit ügyfélfogadási időn kívül is – lehetőleg előre egyeztetett időpontban – fogadni kell.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3.) </w:t>
      </w:r>
      <w:r w:rsidRPr="007A7113">
        <w:rPr>
          <w:b/>
        </w:rPr>
        <w:t>A postabontás, iktatás rendje</w:t>
      </w:r>
    </w:p>
    <w:p w:rsidR="0062635A" w:rsidRPr="007A7113" w:rsidRDefault="0062635A" w:rsidP="0062635A">
      <w:pPr>
        <w:pStyle w:val="NormlWeb"/>
        <w:spacing w:before="0" w:beforeAutospacing="0" w:after="0"/>
        <w:jc w:val="both"/>
        <w:rPr>
          <w:b/>
        </w:rPr>
      </w:pP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tab/>
      </w:r>
      <w:r w:rsidRPr="00A90C99">
        <w:rPr>
          <w:b/>
        </w:rPr>
        <w:t>A.</w:t>
      </w:r>
    </w:p>
    <w:p w:rsidR="0062635A" w:rsidRPr="00A90C99" w:rsidRDefault="0062635A" w:rsidP="0062635A">
      <w:pPr>
        <w:pStyle w:val="NormlWeb"/>
        <w:spacing w:before="0" w:beforeAutospacing="0" w:after="0"/>
        <w:jc w:val="both"/>
        <w:rPr>
          <w:b/>
        </w:rPr>
      </w:pPr>
    </w:p>
    <w:p w:rsidR="0062635A" w:rsidRPr="00A90C99" w:rsidRDefault="0062635A" w:rsidP="0062635A">
      <w:pPr>
        <w:pStyle w:val="NormlWeb"/>
        <w:spacing w:before="0" w:beforeAutospacing="0" w:after="0"/>
        <w:jc w:val="both"/>
        <w:rPr>
          <w:b/>
        </w:rPr>
      </w:pPr>
      <w:r w:rsidRPr="00A90C99">
        <w:rPr>
          <w:b/>
        </w:rPr>
        <w:tab/>
        <w:t>A Hivatal székhelyén: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A névre és beosztásra szóló küldeményeket a címzett, a hivatal címére érkezett küldeményeket a Titkársági Osztály iktatással megbízott ügykezelője bontja, majd adja át a polgármesternek, alpolgármesternek illetve a jegyzőnek szignálás végett.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A szignálás osztályokra, majd az osztályvezetők által ügyintézőkre történik.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 xml:space="preserve">Minden ügyiratot az érkezés napján, de legkésőbb a következő napon iktatni kell.  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Az iktatás központi iktatás keretében, a Titkársági Osztályon az általános vagy speciális (pl. TÜK) ügyiratkezelési szabályzat szerint történik.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lastRenderedPageBreak/>
        <w:t>A borítékolt és címzett, valamint szükséges kellékekkel (pl. tértivevény) ellátott küldemények továbbítását a portaszolgálatnál működő postázó végzi.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tab/>
      </w:r>
      <w:r>
        <w:rPr>
          <w:b/>
        </w:rPr>
        <w:t>B.</w:t>
      </w:r>
    </w:p>
    <w:p w:rsidR="0062635A" w:rsidRDefault="0062635A" w:rsidP="0062635A">
      <w:pPr>
        <w:pStyle w:val="NormlWeb"/>
        <w:spacing w:before="0" w:beforeAutospacing="0" w:after="0"/>
        <w:jc w:val="both"/>
        <w:rPr>
          <w:b/>
        </w:rPr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rPr>
          <w:b/>
        </w:rPr>
        <w:tab/>
        <w:t>Társult települések irodáiban: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  <w:r>
        <w:tab/>
        <w:t xml:space="preserve">a.) a névre és beosztásra szóló küldeményeket a címzett, az egyéb küldeményeket az </w:t>
      </w:r>
      <w:r>
        <w:tab/>
        <w:t xml:space="preserve">     érintett településen dolgozó köztisztviselő bontja, majd adja át a polgármesternek, </w:t>
      </w:r>
      <w:r>
        <w:tab/>
        <w:t xml:space="preserve">     illetve a jegyzőnek, vagy az általa megbízott személynek szignálás végett.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b.) Minden ügyiratot az érkezés napján, de legkésőbb a következő napon iktatni kell.  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c.) Az iktatás központi iktatás keretében az általános vagy speciális (pl. TÜK) </w:t>
      </w:r>
      <w:r>
        <w:tab/>
        <w:t xml:space="preserve">    </w:t>
      </w:r>
      <w:r>
        <w:tab/>
        <w:t xml:space="preserve">     ügyiratkezelési szabályzat szerint történik.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d.) A borítékolt, valamint a szükséges kellékekkel ellátott küldemények postázásáról </w:t>
      </w:r>
      <w:r>
        <w:tab/>
        <w:t xml:space="preserve">      az ügyintéző gondoskodik.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</w:p>
    <w:p w:rsidR="0062635A" w:rsidRPr="00910E0A" w:rsidRDefault="0062635A" w:rsidP="0062635A">
      <w:pPr>
        <w:pStyle w:val="NormlWeb"/>
        <w:spacing w:before="0" w:beforeAutospacing="0" w:after="0"/>
        <w:jc w:val="both"/>
      </w:pPr>
    </w:p>
    <w:p w:rsidR="0062635A" w:rsidRPr="007A7113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4.) </w:t>
      </w:r>
      <w:r w:rsidRPr="007A7113">
        <w:rPr>
          <w:b/>
        </w:rPr>
        <w:t>A kiadmányozás rendje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2"/>
        </w:numPr>
        <w:spacing w:before="0" w:beforeAutospacing="0" w:after="0"/>
        <w:jc w:val="both"/>
      </w:pPr>
      <w:r>
        <w:t>A polgármesterek (alpolgármesterek), a jegyző kiadmányozza az önkormányzattal kapcsolatos és a jogszabály által hatáskörébe utalt ügyeket.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2"/>
        </w:numPr>
        <w:spacing w:before="0" w:beforeAutospacing="0" w:after="0"/>
        <w:jc w:val="both"/>
      </w:pPr>
      <w:r>
        <w:t>A polgármesterek (alpolgármesterek) együttes akadályoztatása esetén a nevében a jegyző is kiadmányozhat, erről utólag köteles tájékoztatni a polgármestert.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2"/>
        </w:numPr>
        <w:spacing w:before="0" w:beforeAutospacing="0" w:after="0"/>
        <w:jc w:val="both"/>
      </w:pPr>
      <w:r>
        <w:t>A jegyző kiadmányozza a feladatkörébe tartozó ügyiratokat, hatósági ügyekben a kiadmányozás jogát érdemi döntések esetén átruházza (határozat, végzés) az illetékes osztályvezetőkre. Közbeeső intézkedések kiadmányozását a csoportvezetők végzik.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a jegyzői hatáskörbe tartozó ügyek kiadmányozását a jegyző </w:t>
      </w:r>
      <w:r>
        <w:tab/>
        <w:t>által megbízott titkársági osztályvezető, illetve osztályvezető-helyettes végzi.</w:t>
      </w:r>
    </w:p>
    <w:p w:rsidR="0062635A" w:rsidRDefault="0062635A" w:rsidP="0062635A">
      <w:pPr>
        <w:pStyle w:val="NormlWeb"/>
        <w:spacing w:before="0" w:beforeAutospacing="0" w:after="0"/>
        <w:ind w:left="108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Pr="007A7113" w:rsidRDefault="0062635A" w:rsidP="0062635A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5.) </w:t>
      </w:r>
      <w:r w:rsidRPr="007A7113">
        <w:rPr>
          <w:b/>
        </w:rPr>
        <w:t>A bélyegzők leírása, használata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>„BONYHÁD VÁROS POLGÁRMESTERE”, „BONYHÁDI KÖZÖS ÖNKORMÁNYZATI HIVATAL JEGYZŐJE” feliratú bélyegző használatára a polgármester, az alpolgármesterek és a jegyző jogosult.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„… POLGÁRMESTERE” feliratú bélyegzőket az érintett </w:t>
      </w:r>
      <w:r>
        <w:tab/>
        <w:t>település polgármestere és alpolgármestere használhatja.</w:t>
      </w:r>
    </w:p>
    <w:p w:rsidR="0062635A" w:rsidRDefault="0062635A" w:rsidP="0062635A">
      <w:pPr>
        <w:pStyle w:val="NormlWeb"/>
        <w:spacing w:before="0" w:beforeAutospacing="0" w:after="0"/>
        <w:ind w:left="397"/>
        <w:jc w:val="both"/>
      </w:pPr>
      <w:r>
        <w:tab/>
        <w:t xml:space="preserve">A települések önkormányzatainak bélyegzőit a polgármesterek és a jegyző </w:t>
      </w:r>
      <w:r>
        <w:tab/>
        <w:t>használhatja.</w:t>
      </w:r>
    </w:p>
    <w:p w:rsidR="0062635A" w:rsidRDefault="0062635A" w:rsidP="0062635A">
      <w:pPr>
        <w:pStyle w:val="NormlWeb"/>
        <w:spacing w:before="0" w:beforeAutospacing="0" w:after="0"/>
        <w:jc w:val="both"/>
      </w:pPr>
    </w:p>
    <w:p w:rsidR="0062635A" w:rsidRDefault="0062635A" w:rsidP="0062635A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lastRenderedPageBreak/>
        <w:t>„BONYHÁDI KÖZÖS ÖNKORMÁNYZATI HIVATAL JEGYZŐJE” feliratú bélyegzőt az osztályvezetők jogosultak használni, ha a jegyző megbízásából határozatot vagy végzést kiadmányoznak.</w:t>
      </w:r>
    </w:p>
    <w:p w:rsidR="00D30016" w:rsidRDefault="00D30016"/>
    <w:sectPr w:rsidR="00D30016" w:rsidSect="00D3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C0" w:rsidRDefault="00027FC0" w:rsidP="006C051B">
      <w:r>
        <w:separator/>
      </w:r>
    </w:p>
  </w:endnote>
  <w:endnote w:type="continuationSeparator" w:id="1">
    <w:p w:rsidR="00027FC0" w:rsidRDefault="00027FC0" w:rsidP="006C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C0" w:rsidRDefault="00027FC0" w:rsidP="006C051B">
      <w:r>
        <w:separator/>
      </w:r>
    </w:p>
  </w:footnote>
  <w:footnote w:type="continuationSeparator" w:id="1">
    <w:p w:rsidR="00027FC0" w:rsidRDefault="00027FC0" w:rsidP="006C051B">
      <w:r>
        <w:continuationSeparator/>
      </w:r>
    </w:p>
  </w:footnote>
  <w:footnote w:id="2">
    <w:p w:rsidR="006C051B" w:rsidRDefault="006C051B">
      <w:pPr>
        <w:pStyle w:val="Lbjegyzetszveg"/>
      </w:pPr>
      <w:r>
        <w:rPr>
          <w:rStyle w:val="Lbjegyzet-hivatkozs"/>
        </w:rPr>
        <w:footnoteRef/>
      </w:r>
      <w:r>
        <w:t xml:space="preserve"> Hatályos 2014. október 27-től.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C587E"/>
    <w:multiLevelType w:val="hybridMultilevel"/>
    <w:tmpl w:val="DCD42E3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4473D"/>
    <w:multiLevelType w:val="hybridMultilevel"/>
    <w:tmpl w:val="C6541530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577E3"/>
    <w:multiLevelType w:val="hybridMultilevel"/>
    <w:tmpl w:val="13D2D3C8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649"/>
        </w:tabs>
        <w:ind w:left="1649" w:hanging="389"/>
      </w:pPr>
      <w:rPr>
        <w:rFonts w:ascii="Symbol" w:hAnsi="Symbol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9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10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5A"/>
    <w:rsid w:val="00006517"/>
    <w:rsid w:val="00027FC0"/>
    <w:rsid w:val="000705C1"/>
    <w:rsid w:val="005F2512"/>
    <w:rsid w:val="0062635A"/>
    <w:rsid w:val="006C051B"/>
    <w:rsid w:val="00827A1B"/>
    <w:rsid w:val="00B978BF"/>
    <w:rsid w:val="00D3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2635A"/>
    <w:pPr>
      <w:spacing w:before="100" w:beforeAutospacing="1" w:after="119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05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05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05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2C8A-FADA-4983-899B-E506C406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1673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kisvejke</dc:creator>
  <cp:lastModifiedBy>agi</cp:lastModifiedBy>
  <cp:revision>3</cp:revision>
  <dcterms:created xsi:type="dcterms:W3CDTF">2013-09-17T14:00:00Z</dcterms:created>
  <dcterms:modified xsi:type="dcterms:W3CDTF">2014-11-17T03:55:00Z</dcterms:modified>
</cp:coreProperties>
</file>