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D1" w:rsidRDefault="005645D1">
      <w:pPr>
        <w:jc w:val="right"/>
        <w:rPr>
          <w:b w:val="0"/>
          <w:i/>
        </w:rPr>
      </w:pPr>
    </w:p>
    <w:p w:rsidR="005645D1" w:rsidRDefault="002A3D18">
      <w:pPr>
        <w:jc w:val="right"/>
        <w:rPr>
          <w:b w:val="0"/>
          <w:i/>
        </w:rPr>
      </w:pPr>
      <w:r>
        <w:rPr>
          <w:b w:val="0"/>
          <w:i/>
        </w:rPr>
        <w:t xml:space="preserve">Melléklet a </w:t>
      </w:r>
      <w:r w:rsidR="006652E6">
        <w:rPr>
          <w:b w:val="0"/>
          <w:i/>
        </w:rPr>
        <w:t>30</w:t>
      </w:r>
      <w:r>
        <w:rPr>
          <w:b w:val="0"/>
          <w:i/>
        </w:rPr>
        <w:t>/2020.(</w:t>
      </w:r>
      <w:r w:rsidR="006652E6">
        <w:rPr>
          <w:b w:val="0"/>
          <w:i/>
        </w:rPr>
        <w:t>VII.08.</w:t>
      </w:r>
      <w:r>
        <w:rPr>
          <w:b w:val="0"/>
          <w:i/>
        </w:rPr>
        <w:t>) önkormányzati rendelethez</w:t>
      </w:r>
    </w:p>
    <w:p w:rsidR="005645D1" w:rsidRDefault="005645D1">
      <w:pPr>
        <w:jc w:val="center"/>
        <w:rPr>
          <w:b w:val="0"/>
        </w:rPr>
      </w:pPr>
    </w:p>
    <w:p w:rsidR="005645D1" w:rsidRDefault="005645D1">
      <w:pPr>
        <w:jc w:val="center"/>
        <w:rPr>
          <w:b w:val="0"/>
        </w:rPr>
      </w:pPr>
    </w:p>
    <w:p w:rsidR="005645D1" w:rsidRDefault="002A3D18">
      <w:pPr>
        <w:jc w:val="right"/>
      </w:pPr>
      <w:r>
        <w:rPr>
          <w:b w:val="0"/>
          <w:i/>
          <w:sz w:val="24"/>
          <w:szCs w:val="24"/>
        </w:rPr>
        <w:t>2</w:t>
      </w:r>
      <w:proofErr w:type="gramStart"/>
      <w:r>
        <w:rPr>
          <w:b w:val="0"/>
          <w:i/>
          <w:sz w:val="24"/>
          <w:szCs w:val="24"/>
        </w:rPr>
        <w:t>..</w:t>
      </w:r>
      <w:proofErr w:type="gramEnd"/>
      <w:r>
        <w:rPr>
          <w:b w:val="0"/>
          <w:i/>
          <w:sz w:val="24"/>
          <w:szCs w:val="24"/>
        </w:rPr>
        <w:t xml:space="preserve"> melléklet</w:t>
      </w:r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5645D1">
      <w:pPr>
        <w:jc w:val="right"/>
        <w:rPr>
          <w:b w:val="0"/>
          <w:sz w:val="24"/>
          <w:szCs w:val="24"/>
        </w:rPr>
      </w:pPr>
    </w:p>
    <w:p w:rsidR="005645D1" w:rsidRDefault="002A3D18">
      <w:pPr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Személyi térítési díjak</w:t>
      </w:r>
    </w:p>
    <w:p w:rsidR="005645D1" w:rsidRDefault="002A3D18">
      <w:pPr>
        <w:jc w:val="right"/>
      </w:pPr>
      <w:r>
        <w:rPr>
          <w:b w:val="0"/>
          <w:i/>
          <w:sz w:val="24"/>
          <w:szCs w:val="24"/>
        </w:rPr>
        <w:t>2.1. melléklet</w:t>
      </w:r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5645D1">
      <w:pPr>
        <w:jc w:val="center"/>
        <w:rPr>
          <w:bCs/>
          <w:sz w:val="24"/>
          <w:szCs w:val="24"/>
        </w:rPr>
      </w:pPr>
    </w:p>
    <w:p w:rsidR="005645D1" w:rsidRDefault="002A3D18">
      <w:pPr>
        <w:jc w:val="center"/>
      </w:pPr>
      <w:r>
        <w:rPr>
          <w:b w:val="0"/>
          <w:bCs/>
          <w:sz w:val="24"/>
          <w:szCs w:val="24"/>
        </w:rPr>
        <w:t xml:space="preserve">Szociális étkezésért fizetendő személyi térítési díj </w:t>
      </w:r>
    </w:p>
    <w:p w:rsidR="005645D1" w:rsidRDefault="005645D1">
      <w:pPr>
        <w:jc w:val="center"/>
        <w:rPr>
          <w:bCs/>
          <w:sz w:val="24"/>
          <w:szCs w:val="24"/>
        </w:rPr>
      </w:pPr>
    </w:p>
    <w:tbl>
      <w:tblPr>
        <w:tblW w:w="8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197"/>
        <w:gridCol w:w="2197"/>
      </w:tblGrid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Besorolási kategóriák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NYM 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footnoteReference w:customMarkFollows="1" w:id="1"/>
              <w:t></w:t>
            </w:r>
            <w:r>
              <w:rPr>
                <w:b w:val="0"/>
                <w:bCs/>
                <w:sz w:val="24"/>
                <w:szCs w:val="24"/>
              </w:rPr>
              <w:t xml:space="preserve">     (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Étkezés helyben fogyasztással, elvitellel (Ft/nap) bruttó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Étkezés házhoz szállítással (Ft/nap) bruttó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230%-át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265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300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290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370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415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460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450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520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575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550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635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690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650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750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805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885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955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meghaladja </w:t>
            </w:r>
            <w:proofErr w:type="gramStart"/>
            <w:r>
              <w:rPr>
                <w:b w:val="0"/>
                <w:sz w:val="24"/>
                <w:szCs w:val="24"/>
              </w:rPr>
              <w:t>a</w:t>
            </w:r>
            <w:proofErr w:type="gramEnd"/>
            <w:r>
              <w:rPr>
                <w:b w:val="0"/>
                <w:sz w:val="24"/>
                <w:szCs w:val="24"/>
              </w:rPr>
              <w:t xml:space="preserve"> 550%-át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990</w:t>
            </w:r>
          </w:p>
        </w:tc>
      </w:tr>
    </w:tbl>
    <w:p w:rsidR="005645D1" w:rsidRDefault="005645D1">
      <w:pPr>
        <w:jc w:val="center"/>
        <w:rPr>
          <w:bCs/>
          <w:sz w:val="24"/>
          <w:szCs w:val="24"/>
        </w:rPr>
      </w:pPr>
    </w:p>
    <w:p w:rsidR="005645D1" w:rsidRDefault="005645D1">
      <w:pPr>
        <w:jc w:val="center"/>
        <w:rPr>
          <w:bCs/>
          <w:sz w:val="24"/>
          <w:szCs w:val="24"/>
        </w:rPr>
      </w:pPr>
    </w:p>
    <w:p w:rsidR="005645D1" w:rsidRDefault="002A3D18">
      <w:pPr>
        <w:jc w:val="both"/>
      </w:pPr>
      <w:r>
        <w:rPr>
          <w:b w:val="0"/>
          <w:i/>
          <w:iCs/>
          <w:sz w:val="24"/>
          <w:szCs w:val="24"/>
        </w:rPr>
        <w:t xml:space="preserve"> Megjegyzés</w:t>
      </w:r>
      <w:proofErr w:type="gramStart"/>
      <w:r>
        <w:rPr>
          <w:b w:val="0"/>
          <w:sz w:val="24"/>
          <w:szCs w:val="24"/>
        </w:rPr>
        <w:t>:    Az</w:t>
      </w:r>
      <w:proofErr w:type="gramEnd"/>
      <w:r>
        <w:rPr>
          <w:b w:val="0"/>
          <w:sz w:val="24"/>
          <w:szCs w:val="24"/>
        </w:rPr>
        <w:t xml:space="preserve"> étel szállítási költsége az egyes besorolási kategóriák szerint meghatározott  „étkezés házhoz szállítással” és „étkezés”  összegének különbözete.</w:t>
      </w:r>
    </w:p>
    <w:p w:rsidR="005645D1" w:rsidRDefault="002A3D18">
      <w:pPr>
        <w:tabs>
          <w:tab w:val="left" w:pos="233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645D1" w:rsidRDefault="005645D1">
      <w:pPr>
        <w:jc w:val="both"/>
        <w:rPr>
          <w:b w:val="0"/>
          <w:sz w:val="24"/>
          <w:szCs w:val="24"/>
        </w:rPr>
      </w:pPr>
    </w:p>
    <w:p w:rsidR="005645D1" w:rsidRDefault="005645D1">
      <w:pPr>
        <w:jc w:val="both"/>
        <w:rPr>
          <w:b w:val="0"/>
          <w:sz w:val="24"/>
          <w:szCs w:val="24"/>
        </w:rPr>
      </w:pPr>
    </w:p>
    <w:p w:rsidR="005645D1" w:rsidRDefault="005645D1">
      <w:pPr>
        <w:jc w:val="both"/>
        <w:rPr>
          <w:b w:val="0"/>
          <w:sz w:val="24"/>
          <w:szCs w:val="24"/>
        </w:rPr>
      </w:pPr>
    </w:p>
    <w:p w:rsidR="005645D1" w:rsidRDefault="005645D1">
      <w:pPr>
        <w:jc w:val="both"/>
        <w:rPr>
          <w:b w:val="0"/>
          <w:sz w:val="24"/>
          <w:szCs w:val="24"/>
        </w:rPr>
      </w:pPr>
    </w:p>
    <w:p w:rsidR="005645D1" w:rsidRDefault="005645D1">
      <w:pPr>
        <w:jc w:val="both"/>
        <w:rPr>
          <w:b w:val="0"/>
          <w:sz w:val="24"/>
          <w:szCs w:val="24"/>
        </w:rPr>
      </w:pPr>
    </w:p>
    <w:p w:rsidR="005645D1" w:rsidRDefault="005645D1">
      <w:pPr>
        <w:ind w:left="284" w:hanging="284"/>
        <w:jc w:val="right"/>
        <w:rPr>
          <w:b w:val="0"/>
          <w:i/>
          <w:sz w:val="24"/>
          <w:szCs w:val="24"/>
        </w:rPr>
      </w:pPr>
    </w:p>
    <w:p w:rsidR="005645D1" w:rsidRDefault="005645D1">
      <w:pPr>
        <w:jc w:val="right"/>
        <w:rPr>
          <w:b w:val="0"/>
          <w:i/>
          <w:sz w:val="24"/>
          <w:szCs w:val="24"/>
        </w:rPr>
      </w:pPr>
    </w:p>
    <w:p w:rsidR="005645D1" w:rsidRDefault="002A3D18">
      <w:pPr>
        <w:jc w:val="right"/>
      </w:pPr>
      <w:r>
        <w:rPr>
          <w:b w:val="0"/>
          <w:i/>
          <w:sz w:val="24"/>
          <w:szCs w:val="24"/>
        </w:rPr>
        <w:t>2.2. melléklet</w:t>
      </w:r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5645D1">
      <w:pPr>
        <w:jc w:val="center"/>
        <w:rPr>
          <w:bCs/>
          <w:sz w:val="24"/>
          <w:szCs w:val="24"/>
        </w:rPr>
      </w:pPr>
    </w:p>
    <w:p w:rsidR="005645D1" w:rsidRDefault="005645D1">
      <w:pPr>
        <w:jc w:val="center"/>
        <w:rPr>
          <w:b w:val="0"/>
          <w:sz w:val="24"/>
          <w:szCs w:val="26"/>
        </w:rPr>
      </w:pPr>
    </w:p>
    <w:p w:rsidR="005645D1" w:rsidRDefault="002A3D18">
      <w:pPr>
        <w:jc w:val="center"/>
      </w:pPr>
      <w:r>
        <w:rPr>
          <w:b w:val="0"/>
          <w:sz w:val="24"/>
          <w:szCs w:val="24"/>
        </w:rPr>
        <w:t xml:space="preserve">Házi segítségnyújtásért fizetendő személyi térítési díj </w:t>
      </w:r>
    </w:p>
    <w:p w:rsidR="005645D1" w:rsidRDefault="005645D1">
      <w:pPr>
        <w:jc w:val="center"/>
        <w:rPr>
          <w:b w:val="0"/>
          <w:sz w:val="24"/>
          <w:szCs w:val="24"/>
        </w:rPr>
      </w:pPr>
    </w:p>
    <w:tbl>
      <w:tblPr>
        <w:tblW w:w="8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197"/>
        <w:gridCol w:w="2197"/>
      </w:tblGrid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Besorolási kategóriák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NYM 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footnoteReference w:customMarkFollows="1" w:id="2"/>
              <w:t></w:t>
            </w:r>
            <w:r>
              <w:rPr>
                <w:b w:val="0"/>
                <w:bCs/>
                <w:sz w:val="24"/>
                <w:szCs w:val="24"/>
              </w:rPr>
              <w:t xml:space="preserve">     (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Személyi gondozás </w:t>
            </w:r>
            <w:r>
              <w:rPr>
                <w:b w:val="0"/>
                <w:sz w:val="24"/>
                <w:szCs w:val="24"/>
              </w:rPr>
              <w:t>(Ft / gondozási óra)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Szociális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segítés    </w:t>
            </w:r>
            <w:r>
              <w:rPr>
                <w:b w:val="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sz w:val="24"/>
                <w:szCs w:val="24"/>
              </w:rPr>
              <w:t>Ft / gondozási óra)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230%-át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830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925</w:t>
            </w:r>
          </w:p>
        </w:tc>
      </w:tr>
      <w:tr w:rsidR="005645D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meghaladja </w:t>
            </w:r>
            <w:proofErr w:type="gramStart"/>
            <w:r>
              <w:rPr>
                <w:b w:val="0"/>
                <w:sz w:val="24"/>
                <w:szCs w:val="24"/>
              </w:rPr>
              <w:t>a</w:t>
            </w:r>
            <w:proofErr w:type="gramEnd"/>
            <w:r>
              <w:rPr>
                <w:b w:val="0"/>
                <w:sz w:val="24"/>
                <w:szCs w:val="24"/>
              </w:rPr>
              <w:t xml:space="preserve"> 550%-át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995</w:t>
            </w:r>
          </w:p>
        </w:tc>
      </w:tr>
    </w:tbl>
    <w:p w:rsidR="005645D1" w:rsidRDefault="005645D1">
      <w:pPr>
        <w:jc w:val="center"/>
        <w:rPr>
          <w:b w:val="0"/>
          <w:sz w:val="24"/>
          <w:szCs w:val="24"/>
        </w:rPr>
      </w:pPr>
    </w:p>
    <w:p w:rsidR="005645D1" w:rsidRDefault="005645D1">
      <w:pPr>
        <w:jc w:val="center"/>
        <w:rPr>
          <w:b w:val="0"/>
          <w:sz w:val="24"/>
          <w:szCs w:val="26"/>
        </w:rPr>
      </w:pPr>
    </w:p>
    <w:p w:rsidR="005645D1" w:rsidRDefault="002A3D18">
      <w:pPr>
        <w:pageBreakBefore/>
        <w:jc w:val="right"/>
      </w:pPr>
      <w:r>
        <w:rPr>
          <w:b w:val="0"/>
          <w:i/>
          <w:sz w:val="24"/>
          <w:szCs w:val="24"/>
        </w:rPr>
        <w:lastRenderedPageBreak/>
        <w:t>2.3. melléklet</w:t>
      </w:r>
      <w:r>
        <w:rPr>
          <w:b w:val="0"/>
          <w:sz w:val="24"/>
          <w:szCs w:val="24"/>
        </w:rPr>
        <w:t xml:space="preserve"> 3/2015.(II.27.) önkormányzati rendelethez </w:t>
      </w:r>
    </w:p>
    <w:p w:rsidR="005645D1" w:rsidRDefault="005645D1">
      <w:pPr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2A3D18">
      <w:pPr>
        <w:overflowPunct w:val="0"/>
        <w:autoSpaceDE w:val="0"/>
        <w:jc w:val="center"/>
      </w:pPr>
      <w:r>
        <w:rPr>
          <w:b w:val="0"/>
          <w:sz w:val="24"/>
          <w:szCs w:val="24"/>
        </w:rPr>
        <w:t xml:space="preserve">Értelmi Fogyatékosok Nappali Otthonában fizetendő személyi térítési díj </w:t>
      </w:r>
    </w:p>
    <w:p w:rsidR="005645D1" w:rsidRDefault="005645D1">
      <w:pPr>
        <w:overflowPunct w:val="0"/>
        <w:autoSpaceDE w:val="0"/>
        <w:jc w:val="center"/>
        <w:rPr>
          <w:b w:val="0"/>
          <w:sz w:val="24"/>
          <w:szCs w:val="24"/>
        </w:rPr>
      </w:pPr>
    </w:p>
    <w:tbl>
      <w:tblPr>
        <w:tblW w:w="8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2929"/>
        <w:gridCol w:w="2929"/>
      </w:tblGrid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Besorolási</w:t>
            </w:r>
          </w:p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kategóriák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NYM </w:t>
            </w:r>
            <w:r>
              <w:rPr>
                <w:b w:val="0"/>
                <w:sz w:val="24"/>
                <w:szCs w:val="24"/>
                <w:vertAlign w:val="superscript"/>
              </w:rPr>
              <w:footnoteReference w:customMarkFollows="1" w:id="3"/>
              <w:t>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(</w:t>
            </w:r>
            <w:proofErr w:type="gramEnd"/>
            <w:r>
              <w:rPr>
                <w:b w:val="0"/>
                <w:sz w:val="24"/>
                <w:szCs w:val="24"/>
              </w:rPr>
              <w:t>%)</w:t>
            </w:r>
          </w:p>
          <w:p w:rsidR="005645D1" w:rsidRDefault="005645D1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Nappali ellátás étkezéssel</w:t>
            </w:r>
          </w:p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(Ft)</w:t>
            </w:r>
          </w:p>
          <w:p w:rsidR="005645D1" w:rsidRDefault="005645D1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575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meghaladja a 300%-ot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845</w:t>
            </w:r>
          </w:p>
        </w:tc>
      </w:tr>
    </w:tbl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pageBreakBefore/>
        <w:ind w:left="2912"/>
        <w:jc w:val="right"/>
        <w:rPr>
          <w:i/>
          <w:sz w:val="24"/>
          <w:szCs w:val="24"/>
        </w:rPr>
      </w:pPr>
    </w:p>
    <w:p w:rsidR="005645D1" w:rsidRDefault="002A3D18">
      <w:pPr>
        <w:spacing w:before="240" w:after="60"/>
        <w:ind w:left="360"/>
        <w:jc w:val="right"/>
      </w:pPr>
      <w:r>
        <w:rPr>
          <w:b w:val="0"/>
          <w:i/>
          <w:sz w:val="24"/>
          <w:szCs w:val="24"/>
        </w:rPr>
        <w:t>2.4</w:t>
      </w:r>
      <w:proofErr w:type="gramStart"/>
      <w:r>
        <w:rPr>
          <w:b w:val="0"/>
          <w:i/>
          <w:sz w:val="24"/>
          <w:szCs w:val="24"/>
        </w:rPr>
        <w:t>.  melléklet</w:t>
      </w:r>
      <w:proofErr w:type="gramEnd"/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5645D1">
      <w:pPr>
        <w:rPr>
          <w:b w:val="0"/>
          <w:sz w:val="24"/>
          <w:szCs w:val="26"/>
        </w:rPr>
      </w:pPr>
    </w:p>
    <w:p w:rsidR="005645D1" w:rsidRDefault="002A3D18">
      <w:pPr>
        <w:keepNext/>
        <w:overflowPunct w:val="0"/>
        <w:autoSpaceDE w:val="0"/>
        <w:ind w:right="566"/>
        <w:jc w:val="center"/>
      </w:pPr>
      <w:r>
        <w:rPr>
          <w:b w:val="0"/>
          <w:sz w:val="24"/>
          <w:szCs w:val="24"/>
        </w:rPr>
        <w:t>Gyógytornáért, masszázsért fizetendő személyi térítési díj</w:t>
      </w:r>
    </w:p>
    <w:p w:rsidR="005645D1" w:rsidRDefault="005645D1">
      <w:pPr>
        <w:ind w:right="566"/>
        <w:jc w:val="center"/>
        <w:rPr>
          <w:b w:val="0"/>
          <w:sz w:val="24"/>
          <w:szCs w:val="24"/>
        </w:rPr>
      </w:pPr>
    </w:p>
    <w:tbl>
      <w:tblPr>
        <w:tblW w:w="8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2929"/>
        <w:gridCol w:w="2929"/>
      </w:tblGrid>
      <w:tr w:rsidR="005645D1">
        <w:trPr>
          <w:trHeight w:val="10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Besorolási kategóriák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NYM 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footnoteReference w:customMarkFollows="1" w:id="4"/>
              <w:t>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(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Ft/óra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1 460</w:t>
            </w:r>
          </w:p>
        </w:tc>
      </w:tr>
      <w:tr w:rsidR="005645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ind w:right="56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meghaladja a 300%- </w:t>
            </w:r>
            <w:proofErr w:type="spellStart"/>
            <w:r>
              <w:rPr>
                <w:b w:val="0"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1 535</w:t>
            </w:r>
          </w:p>
        </w:tc>
      </w:tr>
    </w:tbl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ind w:left="2912"/>
        <w:jc w:val="right"/>
        <w:rPr>
          <w:i/>
          <w:sz w:val="24"/>
          <w:szCs w:val="24"/>
        </w:rPr>
      </w:pPr>
    </w:p>
    <w:p w:rsidR="005645D1" w:rsidRDefault="005645D1">
      <w:pPr>
        <w:pageBreakBefore/>
        <w:ind w:left="2912"/>
        <w:jc w:val="right"/>
        <w:rPr>
          <w:i/>
          <w:sz w:val="24"/>
          <w:szCs w:val="24"/>
        </w:rPr>
      </w:pPr>
    </w:p>
    <w:p w:rsidR="005645D1" w:rsidRDefault="002A3D18">
      <w:pPr>
        <w:spacing w:before="240" w:after="60"/>
        <w:jc w:val="right"/>
      </w:pPr>
      <w:r>
        <w:rPr>
          <w:b w:val="0"/>
          <w:i/>
          <w:sz w:val="24"/>
          <w:szCs w:val="24"/>
        </w:rPr>
        <w:t>2.5. melléklet</w:t>
      </w:r>
      <w:r>
        <w:rPr>
          <w:b w:val="0"/>
          <w:sz w:val="24"/>
          <w:szCs w:val="24"/>
        </w:rPr>
        <w:t xml:space="preserve"> a 3/2015.(II.27.) önkormányzati rendelethez</w:t>
      </w:r>
    </w:p>
    <w:p w:rsidR="005645D1" w:rsidRDefault="002A3D18">
      <w:pPr>
        <w:keepNext/>
        <w:overflowPunct w:val="0"/>
        <w:autoSpaceDE w:val="0"/>
        <w:ind w:right="56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Napközbeni gyermekfelügyeletért fizetendő személyi térítési díj</w:t>
      </w:r>
    </w:p>
    <w:p w:rsidR="005645D1" w:rsidRDefault="005645D1">
      <w:pPr>
        <w:keepNext/>
        <w:overflowPunct w:val="0"/>
        <w:autoSpaceDE w:val="0"/>
        <w:ind w:right="566"/>
        <w:jc w:val="center"/>
        <w:rPr>
          <w:b w:val="0"/>
          <w:sz w:val="24"/>
          <w:szCs w:val="24"/>
        </w:rPr>
      </w:pPr>
    </w:p>
    <w:tbl>
      <w:tblPr>
        <w:tblW w:w="88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3059"/>
        <w:gridCol w:w="2835"/>
      </w:tblGrid>
      <w:tr w:rsidR="005645D1">
        <w:trPr>
          <w:cantSplit/>
          <w:trHeight w:val="1122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Besorolási</w:t>
            </w:r>
          </w:p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kategóriák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NYM </w:t>
            </w:r>
            <w:r>
              <w:rPr>
                <w:b w:val="0"/>
                <w:sz w:val="24"/>
                <w:szCs w:val="24"/>
                <w:vertAlign w:val="superscript"/>
              </w:rPr>
              <w:footnoteReference w:customMarkFollows="1" w:id="5"/>
              <w:t></w:t>
            </w:r>
            <w:r>
              <w:rPr>
                <w:b w:val="0"/>
                <w:sz w:val="24"/>
                <w:szCs w:val="24"/>
              </w:rPr>
              <w:t xml:space="preserve">                        (</w:t>
            </w:r>
            <w:proofErr w:type="gramEnd"/>
            <w:r>
              <w:rPr>
                <w:b w:val="0"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Ft/óra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</w:t>
            </w:r>
          </w:p>
        </w:tc>
      </w:tr>
      <w:tr w:rsidR="005645D1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meghaladja a 300%-ot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1 050</w:t>
            </w:r>
          </w:p>
        </w:tc>
      </w:tr>
    </w:tbl>
    <w:p w:rsidR="005645D1" w:rsidRDefault="005645D1">
      <w:pPr>
        <w:ind w:right="566"/>
        <w:jc w:val="both"/>
        <w:rPr>
          <w:sz w:val="24"/>
          <w:szCs w:val="24"/>
        </w:rPr>
      </w:pPr>
    </w:p>
    <w:p w:rsidR="005645D1" w:rsidRDefault="002A3D18">
      <w:pPr>
        <w:spacing w:before="240" w:after="60"/>
        <w:ind w:left="1416"/>
        <w:jc w:val="right"/>
      </w:pPr>
      <w:r>
        <w:rPr>
          <w:b w:val="0"/>
          <w:i/>
          <w:sz w:val="24"/>
          <w:szCs w:val="24"/>
        </w:rPr>
        <w:t>2.6. melléklet</w:t>
      </w:r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2A3D18">
      <w:pPr>
        <w:keepNext/>
        <w:overflowPunct w:val="0"/>
        <w:autoSpaceDE w:val="0"/>
        <w:ind w:right="566"/>
        <w:jc w:val="center"/>
      </w:pPr>
      <w:r>
        <w:rPr>
          <w:b w:val="0"/>
          <w:sz w:val="24"/>
          <w:szCs w:val="24"/>
        </w:rPr>
        <w:t>Jelzőrendszeres házi segítségnyújtásért fizetendő személyi térítési díj</w:t>
      </w:r>
    </w:p>
    <w:p w:rsidR="005645D1" w:rsidRDefault="002A3D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tbl>
      <w:tblPr>
        <w:tblW w:w="82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2625"/>
      </w:tblGrid>
      <w:tr w:rsidR="005645D1">
        <w:trPr>
          <w:cantSplit/>
          <w:trHeight w:val="1122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Besorolási</w:t>
            </w:r>
          </w:p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kategóriák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NYM 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footnoteReference w:customMarkFollows="1" w:id="6"/>
              <w:t>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(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Ft/nap</w:t>
            </w:r>
          </w:p>
          <w:p w:rsidR="005645D1" w:rsidRDefault="005645D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645D1">
        <w:trPr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150%-át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5645D1">
        <w:trPr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300%-át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40</w:t>
            </w:r>
          </w:p>
        </w:tc>
      </w:tr>
      <w:tr w:rsidR="005645D1">
        <w:trPr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meghaladja a 300%-át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</w:t>
            </w:r>
          </w:p>
        </w:tc>
      </w:tr>
    </w:tbl>
    <w:p w:rsidR="005645D1" w:rsidRDefault="002A3D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5645D1" w:rsidRDefault="002A3D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5645D1" w:rsidRDefault="005645D1">
      <w:pPr>
        <w:pageBreakBefore/>
        <w:rPr>
          <w:b w:val="0"/>
          <w:sz w:val="24"/>
          <w:szCs w:val="24"/>
        </w:rPr>
      </w:pPr>
    </w:p>
    <w:p w:rsidR="005645D1" w:rsidRDefault="005645D1">
      <w:pPr>
        <w:rPr>
          <w:b w:val="0"/>
          <w:sz w:val="24"/>
          <w:szCs w:val="24"/>
        </w:rPr>
      </w:pPr>
    </w:p>
    <w:p w:rsidR="005645D1" w:rsidRDefault="002A3D18">
      <w:pPr>
        <w:jc w:val="right"/>
      </w:pPr>
      <w:r>
        <w:rPr>
          <w:b w:val="0"/>
          <w:i/>
          <w:sz w:val="24"/>
          <w:szCs w:val="24"/>
        </w:rPr>
        <w:t>2.7. melléklet</w:t>
      </w:r>
      <w:r>
        <w:rPr>
          <w:b w:val="0"/>
          <w:sz w:val="24"/>
          <w:szCs w:val="24"/>
        </w:rPr>
        <w:t xml:space="preserve"> a 3/2015.(II.27.) önkormányzati rendelethez </w:t>
      </w:r>
    </w:p>
    <w:p w:rsidR="005645D1" w:rsidRDefault="005645D1">
      <w:pPr>
        <w:keepNext/>
        <w:overflowPunct w:val="0"/>
        <w:autoSpaceDE w:val="0"/>
        <w:ind w:right="566"/>
        <w:jc w:val="center"/>
        <w:rPr>
          <w:b w:val="0"/>
          <w:sz w:val="24"/>
          <w:szCs w:val="24"/>
        </w:rPr>
      </w:pPr>
    </w:p>
    <w:p w:rsidR="005645D1" w:rsidRDefault="002A3D18">
      <w:pPr>
        <w:keepNext/>
        <w:overflowPunct w:val="0"/>
        <w:autoSpaceDE w:val="0"/>
        <w:ind w:right="566"/>
        <w:jc w:val="center"/>
      </w:pPr>
      <w:r>
        <w:rPr>
          <w:b w:val="0"/>
          <w:bCs/>
          <w:sz w:val="24"/>
          <w:szCs w:val="24"/>
        </w:rPr>
        <w:t xml:space="preserve">Időskorúak átmeneti elhelyezést nyújtó ellátásáért fizetendő személyi térítési díj felső mértéke: </w:t>
      </w:r>
    </w:p>
    <w:p w:rsidR="005645D1" w:rsidRDefault="005645D1">
      <w:pPr>
        <w:rPr>
          <w:b w:val="0"/>
          <w:sz w:val="24"/>
          <w:szCs w:val="24"/>
        </w:rPr>
      </w:pPr>
    </w:p>
    <w:tbl>
      <w:tblPr>
        <w:tblW w:w="825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0"/>
      </w:tblGrid>
      <w:tr w:rsidR="005645D1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325 Ft/nap/fő</w:t>
            </w:r>
          </w:p>
        </w:tc>
      </w:tr>
    </w:tbl>
    <w:p w:rsidR="005645D1" w:rsidRDefault="005645D1">
      <w:pPr>
        <w:rPr>
          <w:sz w:val="24"/>
          <w:szCs w:val="24"/>
        </w:rPr>
      </w:pPr>
    </w:p>
    <w:p w:rsidR="005645D1" w:rsidRDefault="005645D1">
      <w:pPr>
        <w:jc w:val="right"/>
        <w:rPr>
          <w:b w:val="0"/>
          <w:bCs/>
          <w:i/>
          <w:iCs/>
          <w:sz w:val="24"/>
          <w:szCs w:val="24"/>
        </w:rPr>
      </w:pPr>
    </w:p>
    <w:p w:rsidR="005645D1" w:rsidRDefault="005645D1">
      <w:pPr>
        <w:jc w:val="right"/>
        <w:rPr>
          <w:b w:val="0"/>
          <w:bCs/>
          <w:i/>
          <w:iCs/>
          <w:sz w:val="24"/>
          <w:szCs w:val="24"/>
        </w:rPr>
      </w:pPr>
    </w:p>
    <w:p w:rsidR="005645D1" w:rsidRDefault="002A3D18">
      <w:pPr>
        <w:pStyle w:val="Listaszerbekezds"/>
        <w:suppressAutoHyphens w:val="0"/>
        <w:ind w:left="480"/>
        <w:jc w:val="right"/>
        <w:textAlignment w:val="auto"/>
      </w:pPr>
      <w:r>
        <w:rPr>
          <w:bCs/>
          <w:i/>
          <w:iCs/>
        </w:rPr>
        <w:t>2.8. melléklet</w:t>
      </w:r>
      <w:r>
        <w:rPr>
          <w:bCs/>
        </w:rPr>
        <w:t xml:space="preserve"> a 3/2015.(II.27.) önkormányzati rendelethez </w:t>
      </w:r>
    </w:p>
    <w:p w:rsidR="005645D1" w:rsidRDefault="005645D1">
      <w:pPr>
        <w:pStyle w:val="Listaszerbekezds"/>
        <w:ind w:left="420"/>
        <w:jc w:val="right"/>
        <w:rPr>
          <w:bCs/>
        </w:rPr>
      </w:pPr>
    </w:p>
    <w:p w:rsidR="005645D1" w:rsidRDefault="005645D1">
      <w:pPr>
        <w:pStyle w:val="Listaszerbekezds"/>
        <w:ind w:left="420"/>
        <w:jc w:val="right"/>
        <w:rPr>
          <w:bCs/>
        </w:rPr>
      </w:pPr>
    </w:p>
    <w:p w:rsidR="005645D1" w:rsidRDefault="002A3D18">
      <w:pPr>
        <w:overflowPunct w:val="0"/>
        <w:autoSpaceDE w:val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Demens</w:t>
      </w:r>
      <w:proofErr w:type="spellEnd"/>
      <w:r>
        <w:rPr>
          <w:b w:val="0"/>
          <w:sz w:val="24"/>
          <w:szCs w:val="24"/>
        </w:rPr>
        <w:t xml:space="preserve"> személyek időskorú nappali ellátásáért fizetendő személyi térítési díj </w:t>
      </w:r>
    </w:p>
    <w:p w:rsidR="005645D1" w:rsidRDefault="005645D1">
      <w:pPr>
        <w:overflowPunct w:val="0"/>
        <w:autoSpaceDE w:val="0"/>
        <w:jc w:val="center"/>
        <w:rPr>
          <w:sz w:val="24"/>
          <w:szCs w:val="24"/>
        </w:rPr>
      </w:pPr>
    </w:p>
    <w:tbl>
      <w:tblPr>
        <w:tblW w:w="8636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2158"/>
        <w:gridCol w:w="2169"/>
        <w:gridCol w:w="2156"/>
      </w:tblGrid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Besorolási kategóriák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 xml:space="preserve">A havi jövedelem nem haladja meg a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NYM 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footnoteReference w:customMarkFollows="1" w:id="7"/>
              <w:t></w:t>
            </w:r>
            <w:r>
              <w:rPr>
                <w:b w:val="0"/>
                <w:bCs/>
                <w:sz w:val="24"/>
                <w:szCs w:val="24"/>
              </w:rPr>
              <w:t xml:space="preserve">     (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%)</w:t>
            </w:r>
          </w:p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Nappali ellátás étkezés nélkül</w:t>
            </w:r>
          </w:p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Ft/fő/nap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Nappali ellátás étkezéssel</w:t>
            </w:r>
          </w:p>
          <w:p w:rsidR="005645D1" w:rsidRDefault="002A3D18">
            <w:pPr>
              <w:jc w:val="center"/>
            </w:pPr>
            <w:r>
              <w:rPr>
                <w:b w:val="0"/>
                <w:sz w:val="24"/>
                <w:szCs w:val="24"/>
              </w:rPr>
              <w:t>Ft/fő/nap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150%-át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2A3D18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1 000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180%-át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1 155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210%-át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1 290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240%-át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1 430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270%-át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1 585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300%-át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1 740</w:t>
            </w:r>
          </w:p>
        </w:tc>
      </w:tr>
      <w:tr w:rsidR="005645D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5D1" w:rsidRDefault="002A3D18">
            <w:pPr>
              <w:overflowPunct w:val="0"/>
              <w:autoSpaceDE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meghaladja a 300%-ot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5D1" w:rsidRDefault="005645D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5D1" w:rsidRDefault="002A3D18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</w:tr>
    </w:tbl>
    <w:p w:rsidR="006652E6" w:rsidRDefault="006652E6">
      <w:pPr>
        <w:jc w:val="both"/>
        <w:rPr>
          <w:bCs/>
          <w:iCs/>
          <w:sz w:val="24"/>
          <w:szCs w:val="24"/>
        </w:rPr>
      </w:pPr>
    </w:p>
    <w:p w:rsidR="006652E6" w:rsidRDefault="006652E6">
      <w:pPr>
        <w:suppressAutoHyphens w:val="0"/>
        <w:spacing w:after="160"/>
        <w:rPr>
          <w:bCs/>
          <w:iCs/>
          <w:sz w:val="24"/>
          <w:szCs w:val="24"/>
        </w:rPr>
      </w:pPr>
      <w:bookmarkStart w:id="0" w:name="_GoBack"/>
      <w:bookmarkEnd w:id="0"/>
    </w:p>
    <w:sectPr w:rsidR="006652E6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1F" w:rsidRDefault="00FA4E1F">
      <w:r>
        <w:separator/>
      </w:r>
    </w:p>
  </w:endnote>
  <w:endnote w:type="continuationSeparator" w:id="0">
    <w:p w:rsidR="00FA4E1F" w:rsidRDefault="00F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1F" w:rsidRDefault="00FA4E1F">
      <w:r>
        <w:rPr>
          <w:color w:val="000000"/>
        </w:rPr>
        <w:separator/>
      </w:r>
    </w:p>
  </w:footnote>
  <w:footnote w:type="continuationSeparator" w:id="0">
    <w:p w:rsidR="00FA4E1F" w:rsidRDefault="00FA4E1F">
      <w:r>
        <w:continuationSeparator/>
      </w:r>
    </w:p>
  </w:footnote>
  <w:footnote w:id="1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2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3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4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5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6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</w:footnote>
  <w:footnote w:id="7">
    <w:p w:rsidR="005645D1" w:rsidRDefault="002A3D18">
      <w:pPr>
        <w:pStyle w:val="Lbjegyzetszveg"/>
      </w:pPr>
      <w:r>
        <w:rPr>
          <w:rStyle w:val="Lbjegyzet-hivatkozs"/>
        </w:rPr>
        <w:t></w:t>
      </w:r>
      <w:proofErr w:type="gramStart"/>
      <w:r>
        <w:t>az</w:t>
      </w:r>
      <w:proofErr w:type="gramEnd"/>
      <w:r>
        <w:t xml:space="preserve"> öregségi nyugdíj mindenkori  legkisebb összege</w:t>
      </w:r>
    </w:p>
    <w:p w:rsidR="005645D1" w:rsidRDefault="005645D1">
      <w:pPr>
        <w:pStyle w:val="Lbjegyzetszveg"/>
      </w:pPr>
    </w:p>
    <w:p w:rsidR="005645D1" w:rsidRDefault="005645D1">
      <w:pPr>
        <w:pStyle w:val="Lbjegyzetszveg"/>
      </w:pPr>
    </w:p>
    <w:p w:rsidR="005645D1" w:rsidRDefault="005645D1">
      <w:pPr>
        <w:pStyle w:val="Lbjegyzetszveg"/>
      </w:pPr>
    </w:p>
    <w:p w:rsidR="005645D1" w:rsidRDefault="005645D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6E" w:rsidRDefault="002A3D18">
    <w:pPr>
      <w:pStyle w:val="lfej"/>
      <w:jc w:val="center"/>
    </w:pPr>
    <w:r>
      <w:fldChar w:fldCharType="begin"/>
    </w:r>
    <w:r>
      <w:instrText xml:space="preserve"> PAGE </w:instrText>
    </w:r>
    <w:r>
      <w:fldChar w:fldCharType="separate"/>
    </w:r>
    <w:r w:rsidR="000E44EE">
      <w:rPr>
        <w:noProof/>
      </w:rPr>
      <w:t>6</w:t>
    </w:r>
    <w:r>
      <w:fldChar w:fldCharType="end"/>
    </w:r>
  </w:p>
  <w:p w:rsidR="001B456E" w:rsidRDefault="00FA4E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73B8"/>
    <w:multiLevelType w:val="multilevel"/>
    <w:tmpl w:val="6FF44B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5AEE"/>
    <w:multiLevelType w:val="multilevel"/>
    <w:tmpl w:val="4B2409BE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1"/>
    <w:rsid w:val="000E44EE"/>
    <w:rsid w:val="002A3D18"/>
    <w:rsid w:val="003802D4"/>
    <w:rsid w:val="005645D1"/>
    <w:rsid w:val="006652E6"/>
    <w:rsid w:val="00C54B0F"/>
    <w:rsid w:val="00CC171F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1EE6-F7C9-4775-9F08-AC91C11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/>
    </w:pPr>
    <w:rPr>
      <w:rFonts w:ascii="Times New Roman" w:eastAsia="Times New Roman" w:hAnsi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styleId="Szvegtrzs2">
    <w:name w:val="Body Text 2"/>
    <w:basedOn w:val="Norml"/>
    <w:pPr>
      <w:overflowPunct w:val="0"/>
      <w:autoSpaceDE w:val="0"/>
      <w:jc w:val="center"/>
    </w:pPr>
    <w:rPr>
      <w:bCs/>
    </w:rPr>
  </w:style>
  <w:style w:type="character" w:customStyle="1" w:styleId="Szvegtrzs2Char">
    <w:name w:val="Szövegtörzs 2 Char"/>
    <w:basedOn w:val="Bekezdsalapbettpusa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styleId="Listaszerbekezds">
    <w:name w:val="List Paragraph"/>
    <w:basedOn w:val="Norml"/>
    <w:pPr>
      <w:ind w:left="720"/>
    </w:pPr>
    <w:rPr>
      <w:b w:val="0"/>
      <w:sz w:val="24"/>
      <w:szCs w:val="24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rPr>
      <w:rFonts w:ascii="Times New Roman" w:eastAsia="Times New Roman" w:hAnsi="Times New Roman" w:cs="Times New Roman"/>
      <w:b/>
      <w:sz w:val="16"/>
      <w:szCs w:val="16"/>
      <w:lang w:eastAsia="hu-HU"/>
    </w:rPr>
  </w:style>
  <w:style w:type="paragraph" w:customStyle="1" w:styleId="Renalr">
    <w:name w:val="Ren. aláíró"/>
    <w:basedOn w:val="Norml"/>
    <w:pPr>
      <w:keepNext/>
      <w:tabs>
        <w:tab w:val="center" w:pos="2835"/>
        <w:tab w:val="center" w:pos="7088"/>
      </w:tabs>
      <w:overflowPunct w:val="0"/>
      <w:autoSpaceDE w:val="0"/>
      <w:spacing w:before="60"/>
      <w:jc w:val="both"/>
    </w:pPr>
    <w:rPr>
      <w:b w:val="0"/>
    </w:rPr>
  </w:style>
  <w:style w:type="paragraph" w:styleId="NormlWeb">
    <w:name w:val="Normal (Web)"/>
    <w:basedOn w:val="Norml"/>
    <w:pPr>
      <w:suppressAutoHyphens w:val="0"/>
      <w:spacing w:after="20"/>
      <w:ind w:firstLine="180"/>
      <w:jc w:val="both"/>
      <w:textAlignment w:val="auto"/>
    </w:pPr>
    <w:rPr>
      <w:b w:val="0"/>
      <w:sz w:val="24"/>
      <w:szCs w:val="24"/>
      <w:lang w:eastAsia="en-US" w:bidi="en-US"/>
    </w:rPr>
  </w:style>
  <w:style w:type="paragraph" w:styleId="Lbjegyzetszveg">
    <w:name w:val="footnote text"/>
    <w:basedOn w:val="Norml"/>
    <w:pPr>
      <w:suppressAutoHyphens w:val="0"/>
      <w:textAlignment w:val="auto"/>
    </w:pPr>
    <w:rPr>
      <w:b w:val="0"/>
      <w:sz w:val="20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Pr>
      <w:position w:val="0"/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/>
      <w:b/>
      <w:sz w:val="26"/>
      <w:szCs w:val="20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Times New Roman" w:eastAsia="Times New Roman" w:hAnsi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Luketics Gabriella</dc:creator>
  <dc:description/>
  <cp:lastModifiedBy>Durnyik Daniella</cp:lastModifiedBy>
  <cp:revision>3</cp:revision>
  <dcterms:created xsi:type="dcterms:W3CDTF">2020-07-08T10:21:00Z</dcterms:created>
  <dcterms:modified xsi:type="dcterms:W3CDTF">2020-07-08T10:22:00Z</dcterms:modified>
</cp:coreProperties>
</file>