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0C" w:rsidRPr="00BD129C" w:rsidRDefault="00EC600C" w:rsidP="00EC600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EC600C" w:rsidRPr="00BD129C" w:rsidRDefault="00BE454D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Bajót</w:t>
      </w:r>
      <w:r w:rsidR="00EC600C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</w:t>
      </w:r>
    </w:p>
    <w:p w:rsidR="00EC600C" w:rsidRPr="00BD129C" w:rsidRDefault="00AC3222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2017</w:t>
      </w:r>
      <w:r w:rsidR="0041497A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F7036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BE45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-é</w:t>
      </w:r>
      <w:r w:rsidR="004D7459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BA6465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megtartandó ülésére</w:t>
      </w:r>
    </w:p>
    <w:p w:rsidR="00EC600C" w:rsidRPr="00BD129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Tárgy</w:t>
      </w:r>
      <w:r w:rsidRPr="00BD12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="00AC3222" w:rsidRPr="00BD12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 tervezet az önkormányzat 2017. évi költségvetéséről</w:t>
      </w:r>
    </w:p>
    <w:p w:rsidR="008E1323" w:rsidRPr="00BD129C" w:rsidRDefault="008E1323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C600C" w:rsidRPr="00BD129C" w:rsidRDefault="00EC600C" w:rsidP="00AC3222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Képviselő-testület!</w:t>
      </w:r>
    </w:p>
    <w:p w:rsidR="00547060" w:rsidRPr="00BD129C" w:rsidRDefault="00AC3222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2017. 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évi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központi költségvetéséről az Országgyűlés megalkotta 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2016. évi </w:t>
      </w:r>
      <w:r w:rsidR="00C274B1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C. törvényt. A törvényben foglaltaknak megfelelően, valamint a </w:t>
      </w:r>
      <w:r w:rsidR="00BA6465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Képviselő-testületegyeztető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megbeszélésén meghatározott irányelvek, elképzelések figyelembevételével készítettük elő</w:t>
      </w:r>
      <w:r w:rsidR="00BE45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Bajót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2017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 tervezetét. A tervezet e</w:t>
      </w:r>
      <w:r w:rsidR="00BE45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lkészítését megelőzte a </w:t>
      </w:r>
      <w:proofErr w:type="spellStart"/>
      <w:r w:rsidR="00BE454D">
        <w:rPr>
          <w:rFonts w:ascii="Times New Roman" w:eastAsia="Times New Roman" w:hAnsi="Times New Roman" w:cs="Times New Roman"/>
          <w:sz w:val="24"/>
          <w:szCs w:val="24"/>
          <w:lang w:eastAsia="hu-HU"/>
        </w:rPr>
        <w:t>Hétszínvirág</w:t>
      </w:r>
      <w:proofErr w:type="spellEnd"/>
      <w:r w:rsidR="00BE45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vezetőjével folytatott megbeszélés.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47060" w:rsidRPr="00BD129C" w:rsidRDefault="00BE454D" w:rsidP="00BD12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Bajót</w:t>
      </w:r>
      <w:r w:rsidR="00A61F1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2017. évi összesített költségvetés be</w:t>
      </w:r>
      <w:r w:rsidR="00BA6465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vételeinek főösszege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208 503 746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 Kiadásaina</w:t>
      </w:r>
      <w:r w:rsidR="00351A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főösszege </w:t>
      </w:r>
      <w:r w:rsidR="000D64C6">
        <w:rPr>
          <w:rFonts w:ascii="Times New Roman" w:eastAsia="Times New Roman" w:hAnsi="Times New Roman" w:cs="Times New Roman"/>
          <w:sz w:val="24"/>
          <w:szCs w:val="24"/>
          <w:lang w:eastAsia="hu-HU"/>
        </w:rPr>
        <w:t>220 812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D64C6">
        <w:rPr>
          <w:rFonts w:ascii="Times New Roman" w:eastAsia="Times New Roman" w:hAnsi="Times New Roman" w:cs="Times New Roman"/>
          <w:sz w:val="24"/>
          <w:szCs w:val="24"/>
          <w:lang w:eastAsia="hu-HU"/>
        </w:rPr>
        <w:t>414 Ft, hiány összege 12 261 678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Ft, melyet működési célú költségvetési támogatásoknál, kiegészítéseknél szerepeltetjük (REKI).</w:t>
      </w:r>
    </w:p>
    <w:p w:rsidR="00A61F14" w:rsidRPr="00BD129C" w:rsidRDefault="00BA6465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tervezet </w:t>
      </w:r>
      <w:r w:rsidR="00547060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melléklete </w:t>
      </w:r>
      <w:r w:rsidR="00712818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 bevételeket és ki</w:t>
      </w:r>
      <w:r w:rsidR="00C274B1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adásokat tartalmazza mérlegszerű</w:t>
      </w:r>
      <w:r w:rsidR="00712818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en.</w:t>
      </w:r>
    </w:p>
    <w:p w:rsidR="00EC600C" w:rsidRPr="00BD129C" w:rsidRDefault="00BA646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  <w:t xml:space="preserve">I. </w:t>
      </w:r>
      <w:r w:rsidR="00712818" w:rsidRPr="00BD12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  <w:t>BEVÉTELEK</w:t>
      </w:r>
    </w:p>
    <w:p w:rsidR="00712818" w:rsidRPr="00BD129C" w:rsidRDefault="00712818" w:rsidP="00712818">
      <w:pPr>
        <w:spacing w:before="278" w:after="0" w:line="240" w:lineRule="auto"/>
        <w:rPr>
          <w:rFonts w:ascii="Times New Roman" w:eastAsia="Times New Roman" w:hAnsi="Times New Roman" w:cs="Times New Roman"/>
          <w:i/>
          <w:sz w:val="32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sz w:val="32"/>
          <w:szCs w:val="24"/>
          <w:u w:val="single"/>
          <w:lang w:eastAsia="hu-HU"/>
        </w:rPr>
        <w:t>Önkormányzat költségvetési támogatása</w:t>
      </w:r>
    </w:p>
    <w:p w:rsidR="00712818" w:rsidRPr="00BD129C" w:rsidRDefault="00712818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központi költségvetésből származott forrásainkat az alábbi táblázat mutatja: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1733"/>
      </w:tblGrid>
      <w:tr w:rsidR="00712818" w:rsidRPr="00BD129C" w:rsidTr="003233A6">
        <w:tc>
          <w:tcPr>
            <w:tcW w:w="7479" w:type="dxa"/>
          </w:tcPr>
          <w:p w:rsidR="00712818" w:rsidRPr="00BD129C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önkormányzatok működésének támogatása</w:t>
            </w:r>
            <w:r w:rsidR="00EF3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2016. évi </w:t>
            </w:r>
            <w:proofErr w:type="spellStart"/>
            <w:r w:rsidR="00EF3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bérkompenz</w:t>
            </w:r>
            <w:proofErr w:type="spellEnd"/>
            <w:r w:rsidR="00EF3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33" w:type="dxa"/>
          </w:tcPr>
          <w:p w:rsidR="00712818" w:rsidRPr="00BD129C" w:rsidRDefault="000D64C6" w:rsidP="007D449E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53 842 780</w:t>
            </w:r>
            <w:r w:rsidR="00712818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D129C" w:rsidTr="003233A6">
        <w:tc>
          <w:tcPr>
            <w:tcW w:w="7479" w:type="dxa"/>
          </w:tcPr>
          <w:p w:rsidR="00712818" w:rsidRPr="00BD129C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733" w:type="dxa"/>
          </w:tcPr>
          <w:p w:rsidR="00712818" w:rsidRPr="00BD129C" w:rsidRDefault="00BE454D" w:rsidP="007D449E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30 461 474</w:t>
            </w:r>
            <w:r w:rsidR="007D449E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D129C" w:rsidTr="003233A6">
        <w:tc>
          <w:tcPr>
            <w:tcW w:w="7479" w:type="dxa"/>
          </w:tcPr>
          <w:p w:rsidR="00712818" w:rsidRPr="00BD129C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Települési önkormányzatok egyes szociális és gyermekjóléti </w:t>
            </w:r>
            <w:r w:rsidR="00351A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gyermekétkeztetés </w:t>
            </w: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feladatainak tám</w:t>
            </w:r>
            <w:r w:rsidR="007D449E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ogatása</w:t>
            </w:r>
          </w:p>
        </w:tc>
        <w:tc>
          <w:tcPr>
            <w:tcW w:w="1733" w:type="dxa"/>
          </w:tcPr>
          <w:p w:rsidR="00712818" w:rsidRPr="00BD129C" w:rsidRDefault="00BE454D" w:rsidP="007D449E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23 405 677</w:t>
            </w:r>
            <w:r w:rsidR="007D449E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D129C" w:rsidTr="003233A6">
        <w:tc>
          <w:tcPr>
            <w:tcW w:w="7479" w:type="dxa"/>
          </w:tcPr>
          <w:p w:rsidR="00712818" w:rsidRPr="00BD129C" w:rsidRDefault="00712818" w:rsidP="007D449E">
            <w:pPr>
              <w:spacing w:before="100" w:before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733" w:type="dxa"/>
          </w:tcPr>
          <w:p w:rsidR="00712818" w:rsidRPr="00BD129C" w:rsidRDefault="00BE454D" w:rsidP="007D449E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1 817 160</w:t>
            </w:r>
            <w:r w:rsidR="007D449E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D129C" w:rsidTr="003233A6">
        <w:tc>
          <w:tcPr>
            <w:tcW w:w="7479" w:type="dxa"/>
          </w:tcPr>
          <w:p w:rsidR="00712818" w:rsidRPr="00BD129C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költségvetési támogatások, kiegészítések </w:t>
            </w:r>
            <w:r w:rsidRPr="00BD1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REKI</w:t>
            </w:r>
          </w:p>
        </w:tc>
        <w:tc>
          <w:tcPr>
            <w:tcW w:w="1733" w:type="dxa"/>
          </w:tcPr>
          <w:p w:rsidR="00712818" w:rsidRPr="00BD129C" w:rsidRDefault="000D64C6" w:rsidP="007D449E">
            <w:pPr>
              <w:spacing w:before="278"/>
              <w:ind w:left="601" w:hanging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12 261 678</w:t>
            </w:r>
            <w:r w:rsidR="007D449E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D449E" w:rsidRPr="00BD129C" w:rsidTr="003233A6">
        <w:tc>
          <w:tcPr>
            <w:tcW w:w="7479" w:type="dxa"/>
          </w:tcPr>
          <w:p w:rsidR="007D449E" w:rsidRPr="00BD129C" w:rsidRDefault="007D449E" w:rsidP="007D449E">
            <w:pPr>
              <w:spacing w:before="27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Önkormányzat támogatása összesen:</w:t>
            </w:r>
          </w:p>
        </w:tc>
        <w:tc>
          <w:tcPr>
            <w:tcW w:w="1733" w:type="dxa"/>
          </w:tcPr>
          <w:p w:rsidR="007D449E" w:rsidRPr="00BD129C" w:rsidRDefault="00BE454D" w:rsidP="000D64C6">
            <w:pPr>
              <w:spacing w:before="27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121</w:t>
            </w:r>
            <w:r w:rsidR="000D6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 788 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69 Ft</w:t>
            </w:r>
          </w:p>
        </w:tc>
      </w:tr>
    </w:tbl>
    <w:p w:rsidR="00BD129C" w:rsidRDefault="00BD129C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712818" w:rsidRPr="00BD129C" w:rsidRDefault="007D449E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lastRenderedPageBreak/>
        <w:t xml:space="preserve">A helyi önkormányzat működésének </w:t>
      </w:r>
      <w:r w:rsidR="00AE02A5" w:rsidRPr="00BD12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t>általános támogatása címen az alábbi támogatási formák jelennek meg.</w:t>
      </w:r>
    </w:p>
    <w:p w:rsidR="00AE02A5" w:rsidRDefault="00BA6465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Településüzemeltetéshez kapcsoló</w:t>
      </w:r>
      <w:r w:rsidR="0052213F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dó feladat ellátás alaptámogatása</w:t>
      </w:r>
    </w:p>
    <w:p w:rsidR="00BE454D" w:rsidRPr="00FA26F8" w:rsidRDefault="00FA26F8" w:rsidP="00BE454D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26F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hivatal működésének támogatása</w:t>
      </w:r>
    </w:p>
    <w:p w:rsidR="0052213F" w:rsidRPr="00BD129C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zöldterület – gazdálkodással kapcsolatos feladatok támogatása</w:t>
      </w:r>
    </w:p>
    <w:p w:rsidR="0052213F" w:rsidRPr="00BD129C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közvilágítási feladatok támogatása</w:t>
      </w:r>
    </w:p>
    <w:p w:rsidR="0052213F" w:rsidRPr="00BD129C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köztemető fenntartással kapcsolatos feladatok támogatása</w:t>
      </w:r>
    </w:p>
    <w:p w:rsidR="0052213F" w:rsidRPr="00BD129C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közutak fenntartásának támogatása</w:t>
      </w:r>
    </w:p>
    <w:p w:rsidR="0052213F" w:rsidRPr="00BD129C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önkormányzati feladatok támogatása</w:t>
      </w:r>
    </w:p>
    <w:p w:rsidR="00A9264A" w:rsidRDefault="00A9264A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712818" w:rsidRPr="00BD129C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t>Települési önkormányzatok egyes köznevelési feladatainak támogatása</w:t>
      </w:r>
    </w:p>
    <w:p w:rsidR="00A9264A" w:rsidRDefault="00A9264A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213F" w:rsidRPr="00BD129C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 2017. évi költségvetés támogatást biztosít az óvo</w:t>
      </w:r>
      <w:r w:rsidR="003A477E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dai intézmény finanszírozásához.</w:t>
      </w:r>
    </w:p>
    <w:p w:rsidR="0052213F" w:rsidRPr="00BD129C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átlagbér alapú </w:t>
      </w:r>
      <w:r w:rsidR="00FA26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bértámogatás jár a pedagógusok 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nevelő munkát segítők jogszabályi előírások alapján elismert létszáma alapján,</w:t>
      </w:r>
    </w:p>
    <w:p w:rsidR="003A477E" w:rsidRPr="00BD129C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kiegészítő támogatás jár az óvodapedagógusok minősítés</w:t>
      </w:r>
      <w:r w:rsid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éből fakadó többletkiadásokhoz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létszámuk alapján,</w:t>
      </w:r>
    </w:p>
    <w:p w:rsidR="003A477E" w:rsidRPr="00BD129C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</w:t>
      </w:r>
      <w:r w:rsidR="00BA6465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működtetés támogatás szolgálja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 szakmai eszközök beszerzésének, dologi kiadásainak támogatását.</w:t>
      </w:r>
    </w:p>
    <w:p w:rsidR="00A9264A" w:rsidRDefault="00A9264A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52213F" w:rsidRPr="00BD129C" w:rsidRDefault="003A477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t>Települési önkormányzatok egyes szociális és gyermekjóléti feladatainak támogatása</w:t>
      </w:r>
    </w:p>
    <w:p w:rsidR="0052213F" w:rsidRPr="00BD129C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Települési önkormányzatok szociális </w:t>
      </w:r>
      <w:r w:rsidR="00BA6465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feladatainak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egyéb támogatása (10 064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 000 Ft)</w:t>
      </w:r>
    </w:p>
    <w:p w:rsidR="00A9264A" w:rsidRDefault="00A9264A" w:rsidP="00B2298E">
      <w:pPr>
        <w:spacing w:before="278"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</w:pPr>
    </w:p>
    <w:p w:rsidR="00B2298E" w:rsidRPr="00BD129C" w:rsidRDefault="00B2298E" w:rsidP="00B2298E">
      <w:pPr>
        <w:spacing w:before="278"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  <w:t>Gyermekétkeztetés támogatása</w:t>
      </w:r>
    </w:p>
    <w:p w:rsidR="00B2298E" w:rsidRPr="00BD129C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 szempontjából elismert do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lgozók bértámogatása </w:t>
      </w:r>
      <w:proofErr w:type="gramStart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( 5</w:t>
      </w:r>
      <w:proofErr w:type="gramEnd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 320 320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Ft)</w:t>
      </w:r>
    </w:p>
    <w:p w:rsidR="00B2298E" w:rsidRPr="00BD129C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gyermekétkeztetés üze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meltetési támogatása </w:t>
      </w:r>
      <w:proofErr w:type="gramStart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( 6</w:t>
      </w:r>
      <w:proofErr w:type="gramEnd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 094 757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Ft)</w:t>
      </w:r>
    </w:p>
    <w:p w:rsidR="00B2298E" w:rsidRPr="00BD129C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rászoruló gyermekek szünidei étk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eztetésének támogatása </w:t>
      </w:r>
      <w:proofErr w:type="gramStart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( 1</w:t>
      </w:r>
      <w:proofErr w:type="gramEnd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 926 600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)</w:t>
      </w:r>
    </w:p>
    <w:p w:rsidR="0052213F" w:rsidRPr="00BD129C" w:rsidRDefault="00B2298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települési önkormányzatok kulturális feladatainak támogatása</w:t>
      </w:r>
    </w:p>
    <w:p w:rsidR="003A477E" w:rsidRPr="00BD129C" w:rsidRDefault="00B2298E" w:rsidP="00B2298E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könyvtári és közművelődési f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eladatok támogatása  </w:t>
      </w:r>
      <w:proofErr w:type="gramStart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( 1</w:t>
      </w:r>
      <w:proofErr w:type="gramEnd"/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 817 160</w:t>
      </w: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Ft)</w:t>
      </w:r>
    </w:p>
    <w:p w:rsidR="00A9264A" w:rsidRDefault="00A9264A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3A477E" w:rsidRPr="00BD129C" w:rsidRDefault="00B2298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lastRenderedPageBreak/>
        <w:t>Közhatalmi bevételek</w:t>
      </w:r>
    </w:p>
    <w:p w:rsidR="00E07E14" w:rsidRPr="00BD129C" w:rsidRDefault="00E07E14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törvény szerint a gépjárműadóról szóló törvény alapján a belföldi gépjárművek után a települési önkormányzat által beszedett adó 40%-</w:t>
      </w:r>
      <w:proofErr w:type="gramStart"/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települési önkormányzatot illeti meg.</w:t>
      </w:r>
      <w:r w:rsid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Tervezett összeg 4</w:t>
      </w:r>
      <w:r w:rsidR="000D1944" w:rsidRPr="00BD1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000 000 Ft 2016. évi teljesítés összege </w:t>
      </w:r>
      <w:r w:rsidR="000D7A91" w:rsidRP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>5 613 605</w:t>
      </w:r>
      <w:r w:rsidR="000D1944" w:rsidRPr="000D7A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:rsidR="000D1944" w:rsidRPr="00BD129C" w:rsidRDefault="000D1944" w:rsidP="004E3283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kommu</w:t>
      </w:r>
      <w:r w:rsid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nális</w:t>
      </w:r>
      <w:r w:rsidR="001156E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adó mértéke változatlan 1 5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00 000 Ft a tervezett összeg 2016. évi </w:t>
      </w:r>
      <w:r w:rsidR="000D7A9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teljesítés összege 1 767 288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Ft.</w:t>
      </w:r>
    </w:p>
    <w:p w:rsidR="00E07E14" w:rsidRPr="00BD129C" w:rsidRDefault="000D1944" w:rsidP="00E07E14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Iparűz</w:t>
      </w:r>
      <w:r w:rsidR="000D7A9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ési adó mértéke nem változott 16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000 000 Ft tervezett összeg, 2016. é</w:t>
      </w:r>
      <w:r w:rsidR="000D7A9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vi teljesítés összege 19 570 931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Ft</w:t>
      </w:r>
    </w:p>
    <w:p w:rsidR="001156E3" w:rsidRDefault="000D1944" w:rsidP="00E07E14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Talajterhelési díj tervezett összege 115 000 Ft, mely megeg</w:t>
      </w:r>
      <w:r w:rsidR="000D7A9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yezik a 2016. évi teljesítés összege 316 949 Ft.</w:t>
      </w:r>
    </w:p>
    <w:p w:rsidR="000D1944" w:rsidRPr="00BD129C" w:rsidRDefault="000D1944" w:rsidP="00E07E14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Pótlékra betervezett öss</w:t>
      </w:r>
      <w:r w:rsidR="000D7A9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zeg 740</w:t>
      </w:r>
      <w:r w:rsidR="001156E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000 Ft.</w:t>
      </w:r>
    </w:p>
    <w:p w:rsidR="000D7A91" w:rsidRPr="00D165DE" w:rsidRDefault="000D1944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Működés célú támogatások államháztartáson belülről</w:t>
      </w:r>
    </w:p>
    <w:p w:rsidR="00024B30" w:rsidRDefault="00024B30" w:rsidP="00E07E14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D7A91" w:rsidRPr="00A9264A" w:rsidRDefault="00D165DE" w:rsidP="000D64C6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Nemzeti </w:t>
      </w:r>
      <w:r w:rsidR="00024B30"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Egészségbiztosítási</w:t>
      </w:r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Alapkezelőtől a Védőnői Szolgálat támogatására 3 840 000 Ft –</w:t>
      </w:r>
      <w:proofErr w:type="spellStart"/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ot</w:t>
      </w:r>
      <w:proofErr w:type="spellEnd"/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, Munkaügyi központ</w:t>
      </w:r>
      <w:r w:rsidR="00FA26F8"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tól közfoglalkoztatottak támogatására</w:t>
      </w:r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3 552 000 Ft, Nagysáp Község Önkormányzat</w:t>
      </w:r>
      <w:r w:rsidR="00FA26F8"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tól</w:t>
      </w:r>
      <w:r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Közös Hivatal működéséhe</w:t>
      </w:r>
      <w:r w:rsidR="00FA26F8" w:rsidRPr="00A9264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z 4 243 645 Ft –támogatást terveztünk.</w:t>
      </w:r>
    </w:p>
    <w:p w:rsidR="00E07E14" w:rsidRPr="00BD129C" w:rsidRDefault="00BD3D1E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Intézményi működési bevételek</w:t>
      </w:r>
    </w:p>
    <w:p w:rsidR="0096241A" w:rsidRPr="00BD129C" w:rsidRDefault="00BD3D1E" w:rsidP="00BD129C">
      <w:pPr>
        <w:spacing w:before="278"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intézményi működési bevételén belül szerepeltetjük az Önkormányzat működési bevételeit. A rendelet tervezet öss</w:t>
      </w:r>
      <w:r w:rsidR="00D165D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zesen 4 548 000</w:t>
      </w:r>
      <w:r w:rsidR="00786BD9"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Ft előirányzat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tartalmazza.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583"/>
      </w:tblGrid>
      <w:tr w:rsidR="00BD3D1E" w:rsidRPr="00FA26F8" w:rsidTr="003233A6">
        <w:tc>
          <w:tcPr>
            <w:tcW w:w="6629" w:type="dxa"/>
            <w:vAlign w:val="bottom"/>
          </w:tcPr>
          <w:p w:rsidR="00BD3D1E" w:rsidRPr="00FA26F8" w:rsidRDefault="00BD3D1E" w:rsidP="00711C2E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hu-HU"/>
              </w:rPr>
            </w:pPr>
            <w:r w:rsidRPr="00FA26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hu-HU"/>
              </w:rPr>
              <w:t>Megnevezés</w:t>
            </w:r>
          </w:p>
        </w:tc>
        <w:tc>
          <w:tcPr>
            <w:tcW w:w="2583" w:type="dxa"/>
            <w:vAlign w:val="bottom"/>
          </w:tcPr>
          <w:p w:rsidR="00BD3D1E" w:rsidRPr="00FA26F8" w:rsidRDefault="0096241A" w:rsidP="00BA6465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hu-HU"/>
              </w:rPr>
            </w:pPr>
            <w:r w:rsidRPr="00FA26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hu-HU"/>
              </w:rPr>
              <w:t>összeg</w:t>
            </w:r>
          </w:p>
        </w:tc>
      </w:tr>
      <w:tr w:rsidR="00BD3D1E" w:rsidRPr="00BD129C" w:rsidTr="003233A6">
        <w:tc>
          <w:tcPr>
            <w:tcW w:w="6629" w:type="dxa"/>
            <w:vAlign w:val="bottom"/>
          </w:tcPr>
          <w:p w:rsidR="00BD3D1E" w:rsidRPr="00BD129C" w:rsidRDefault="00762D2D" w:rsidP="00711C2E">
            <w:pPr>
              <w:spacing w:before="27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B</w:t>
            </w:r>
            <w:r w:rsidR="00BD3D1E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érleti díj</w:t>
            </w:r>
          </w:p>
        </w:tc>
        <w:tc>
          <w:tcPr>
            <w:tcW w:w="2583" w:type="dxa"/>
            <w:vAlign w:val="bottom"/>
          </w:tcPr>
          <w:p w:rsidR="00BD3D1E" w:rsidRPr="00BD129C" w:rsidRDefault="000D7A91" w:rsidP="00711C2E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2 879 </w:t>
            </w:r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 </w:t>
            </w:r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D3D1E" w:rsidRPr="00BD129C" w:rsidTr="003233A6">
        <w:tc>
          <w:tcPr>
            <w:tcW w:w="6629" w:type="dxa"/>
            <w:vAlign w:val="bottom"/>
          </w:tcPr>
          <w:p w:rsidR="00BD3D1E" w:rsidRPr="00BD129C" w:rsidRDefault="00762D2D" w:rsidP="00711C2E">
            <w:pPr>
              <w:spacing w:before="27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K</w:t>
            </w:r>
            <w:r w:rsidR="00BD3D1E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özvetített szolgáltatás</w:t>
            </w:r>
          </w:p>
        </w:tc>
        <w:tc>
          <w:tcPr>
            <w:tcW w:w="2583" w:type="dxa"/>
            <w:vAlign w:val="bottom"/>
          </w:tcPr>
          <w:p w:rsidR="00BD3D1E" w:rsidRPr="00BD129C" w:rsidRDefault="000D7A91" w:rsidP="00711C2E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90</w:t>
            </w:r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0 000 Ft</w:t>
            </w:r>
          </w:p>
        </w:tc>
      </w:tr>
      <w:tr w:rsidR="00BD3D1E" w:rsidRPr="00BD129C" w:rsidTr="003233A6">
        <w:tc>
          <w:tcPr>
            <w:tcW w:w="6629" w:type="dxa"/>
            <w:vAlign w:val="bottom"/>
          </w:tcPr>
          <w:p w:rsidR="00BD3D1E" w:rsidRPr="00BD129C" w:rsidRDefault="00762D2D" w:rsidP="00711C2E">
            <w:pPr>
              <w:spacing w:before="27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I</w:t>
            </w:r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ntézményi térítési díj (iskola</w:t>
            </w:r>
            <w:proofErr w:type="gramStart"/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,óvoda</w:t>
            </w:r>
            <w:proofErr w:type="gramEnd"/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583" w:type="dxa"/>
            <w:vAlign w:val="bottom"/>
          </w:tcPr>
          <w:p w:rsidR="00BD3D1E" w:rsidRPr="00BD129C" w:rsidRDefault="000D7A91" w:rsidP="00711C2E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769</w:t>
            </w:r>
            <w:r w:rsidR="0096241A" w:rsidRPr="00BD1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 000 Ft</w:t>
            </w:r>
          </w:p>
        </w:tc>
      </w:tr>
      <w:tr w:rsidR="0096241A" w:rsidRPr="00BD129C" w:rsidTr="003233A6">
        <w:tc>
          <w:tcPr>
            <w:tcW w:w="6629" w:type="dxa"/>
            <w:vAlign w:val="bottom"/>
          </w:tcPr>
          <w:p w:rsidR="0096241A" w:rsidRPr="00BD129C" w:rsidRDefault="0096241A" w:rsidP="00711C2E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hu-HU"/>
              </w:rPr>
              <w:t>Összesen.</w:t>
            </w:r>
          </w:p>
        </w:tc>
        <w:tc>
          <w:tcPr>
            <w:tcW w:w="2583" w:type="dxa"/>
            <w:vAlign w:val="bottom"/>
          </w:tcPr>
          <w:p w:rsidR="0096241A" w:rsidRPr="00BD129C" w:rsidRDefault="000D7A91" w:rsidP="00711C2E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hu-HU"/>
              </w:rPr>
              <w:t>4 548</w:t>
            </w:r>
            <w:r w:rsidR="0096241A" w:rsidRPr="00BD1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hu-HU"/>
              </w:rPr>
              <w:t> 000 Ft</w:t>
            </w:r>
          </w:p>
        </w:tc>
      </w:tr>
    </w:tbl>
    <w:p w:rsidR="00410C1A" w:rsidRDefault="00410C1A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</w:p>
    <w:p w:rsidR="00024B30" w:rsidRDefault="00024B30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</w:p>
    <w:p w:rsidR="00024B30" w:rsidRDefault="00024B30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</w:p>
    <w:p w:rsidR="00D924E5" w:rsidRDefault="00D924E5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</w:p>
    <w:p w:rsidR="00BD3D1E" w:rsidRPr="00BD129C" w:rsidRDefault="0096241A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F</w:t>
      </w:r>
      <w:r w:rsidR="00D165D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alhalmozás célú visszatérítendő támogatás</w:t>
      </w:r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 xml:space="preserve"> </w:t>
      </w:r>
      <w:proofErr w:type="spellStart"/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ÁHT-on</w:t>
      </w:r>
      <w:proofErr w:type="spellEnd"/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 xml:space="preserve"> belülről</w:t>
      </w:r>
    </w:p>
    <w:p w:rsidR="00E07E14" w:rsidRPr="00BD129C" w:rsidRDefault="00351A69" w:rsidP="00E07E14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Komárom-Esztergom Megyétől 3 000 000 Ft kamatmentes visszatérítendő támogatást veszünk fel a traktorpál</w:t>
      </w:r>
      <w:r w:rsidR="00FA26F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yázat önrészéhez.</w:t>
      </w:r>
    </w:p>
    <w:p w:rsidR="00D924E5" w:rsidRDefault="00D924E5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</w:p>
    <w:p w:rsidR="00E07E14" w:rsidRPr="00BD129C" w:rsidRDefault="0096241A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hu-HU"/>
        </w:rPr>
        <w:t>Előző évi költségvetési maradvány igénybevétele</w:t>
      </w:r>
    </w:p>
    <w:p w:rsidR="00351A69" w:rsidRDefault="0096241A" w:rsidP="004E3283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2016. évi költségvetési maradvány </w:t>
      </w:r>
      <w:r w:rsidR="00D165D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összege 57 450 000</w:t>
      </w:r>
      <w:r w:rsidR="00711C2E"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Ft.</w:t>
      </w:r>
    </w:p>
    <w:p w:rsidR="000D64C6" w:rsidRDefault="000D64C6" w:rsidP="000D64C6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Bajót Község Önkormányzat maradványa 57 000 000 Ft.</w:t>
      </w:r>
    </w:p>
    <w:p w:rsidR="000D64C6" w:rsidRPr="000D64C6" w:rsidRDefault="000D64C6" w:rsidP="000D64C6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Bajóti Közös Önkormányzati Hivatal maradványa 450 000 Ft.</w:t>
      </w:r>
    </w:p>
    <w:p w:rsidR="00D924E5" w:rsidRDefault="00D924E5" w:rsidP="004E3283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</w:p>
    <w:p w:rsidR="00410C1A" w:rsidRPr="00BD129C" w:rsidRDefault="00711C2E" w:rsidP="004E3283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KIADÁSOK</w:t>
      </w:r>
    </w:p>
    <w:p w:rsidR="00E07E14" w:rsidRPr="00D924E5" w:rsidRDefault="00711C2E" w:rsidP="00D924E5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D924E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Működési célú kiadások</w:t>
      </w:r>
    </w:p>
    <w:p w:rsidR="00D924E5" w:rsidRPr="00D924E5" w:rsidRDefault="00D924E5" w:rsidP="00D924E5">
      <w:pPr>
        <w:pStyle w:val="Listaszerbekezds"/>
        <w:spacing w:before="278" w:after="0" w:line="240" w:lineRule="auto"/>
        <w:ind w:left="106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762D2D" w:rsidRPr="00BD129C" w:rsidRDefault="00FB4350" w:rsidP="00BD129C">
      <w:pPr>
        <w:spacing w:before="278"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2017. évi költségvetési rendelet tervezet </w:t>
      </w:r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szerint a kiadási főösszeg 76,59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%-át</w:t>
      </w:r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működési kiadások, míg a 23,41 </w:t>
      </w:r>
      <w:r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%-át a felhalmozási kiadások teszik ki.</w:t>
      </w:r>
      <w:r w:rsidR="00024B3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Az Ö</w:t>
      </w:r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nkormányzat, Bajóti Közös Hivatal és a </w:t>
      </w:r>
      <w:proofErr w:type="spellStart"/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Hétszínvirág</w:t>
      </w:r>
      <w:proofErr w:type="spellEnd"/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D31DA8"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Óvoda működési kiadásait 3,4</w:t>
      </w:r>
      <w:r w:rsidR="00410C1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,5 melléklet tartalmazza. A 6,7,11, </w:t>
      </w:r>
      <w:r w:rsidR="00D31DA8" w:rsidRPr="00BD129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mellékletek a működési kiadásokat tartalmazzák szakfeladatonként.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762D2D" w:rsidRPr="00D924E5" w:rsidTr="003233A6">
        <w:tc>
          <w:tcPr>
            <w:tcW w:w="2303" w:type="dxa"/>
          </w:tcPr>
          <w:p w:rsidR="00762D2D" w:rsidRPr="00D924E5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Megnevezés</w:t>
            </w:r>
          </w:p>
        </w:tc>
        <w:tc>
          <w:tcPr>
            <w:tcW w:w="2303" w:type="dxa"/>
            <w:vAlign w:val="center"/>
          </w:tcPr>
          <w:p w:rsidR="00762D2D" w:rsidRPr="00D924E5" w:rsidRDefault="00762D2D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Személyi juttatás</w:t>
            </w:r>
          </w:p>
        </w:tc>
        <w:tc>
          <w:tcPr>
            <w:tcW w:w="2303" w:type="dxa"/>
            <w:vAlign w:val="center"/>
          </w:tcPr>
          <w:p w:rsidR="00762D2D" w:rsidRPr="00D924E5" w:rsidRDefault="00762D2D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Munkaadót </w:t>
            </w:r>
            <w:proofErr w:type="spellStart"/>
            <w:r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terh.j</w:t>
            </w:r>
            <w:proofErr w:type="spellEnd"/>
            <w:r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.</w:t>
            </w:r>
          </w:p>
        </w:tc>
        <w:tc>
          <w:tcPr>
            <w:tcW w:w="2303" w:type="dxa"/>
            <w:vAlign w:val="center"/>
          </w:tcPr>
          <w:p w:rsidR="00762D2D" w:rsidRPr="00D924E5" w:rsidRDefault="00D924E5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 </w:t>
            </w:r>
            <w:r w:rsidR="00762D2D" w:rsidRPr="00D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Dologi kiadás</w:t>
            </w:r>
          </w:p>
        </w:tc>
      </w:tr>
      <w:tr w:rsidR="00762D2D" w:rsidRPr="00BD129C" w:rsidTr="003233A6">
        <w:tc>
          <w:tcPr>
            <w:tcW w:w="2303" w:type="dxa"/>
          </w:tcPr>
          <w:p w:rsidR="00762D2D" w:rsidRPr="00BD129C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303" w:type="dxa"/>
          </w:tcPr>
          <w:p w:rsidR="00762D2D" w:rsidRPr="00BD129C" w:rsidRDefault="000D64C6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23 261</w:t>
            </w:r>
            <w:r w:rsidR="00D16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859</w:t>
            </w:r>
          </w:p>
        </w:tc>
        <w:tc>
          <w:tcPr>
            <w:tcW w:w="2303" w:type="dxa"/>
          </w:tcPr>
          <w:p w:rsidR="00762D2D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4 890 000</w:t>
            </w:r>
          </w:p>
        </w:tc>
        <w:tc>
          <w:tcPr>
            <w:tcW w:w="2303" w:type="dxa"/>
          </w:tcPr>
          <w:p w:rsidR="00762D2D" w:rsidRPr="00BD129C" w:rsidRDefault="00762D2D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  <w:r w:rsidR="000D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6 7</w:t>
            </w:r>
            <w:r w:rsidR="00D13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74 350</w:t>
            </w:r>
          </w:p>
        </w:tc>
      </w:tr>
      <w:tr w:rsidR="00762D2D" w:rsidRPr="00BD129C" w:rsidTr="003233A6">
        <w:tc>
          <w:tcPr>
            <w:tcW w:w="2303" w:type="dxa"/>
          </w:tcPr>
          <w:p w:rsidR="00762D2D" w:rsidRPr="00BD129C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2303" w:type="dxa"/>
          </w:tcPr>
          <w:p w:rsidR="00762D2D" w:rsidRPr="00BD129C" w:rsidRDefault="00D165DE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33 348 000</w:t>
            </w:r>
          </w:p>
        </w:tc>
        <w:tc>
          <w:tcPr>
            <w:tcW w:w="2303" w:type="dxa"/>
          </w:tcPr>
          <w:p w:rsidR="00762D2D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7 486 000</w:t>
            </w:r>
          </w:p>
        </w:tc>
        <w:tc>
          <w:tcPr>
            <w:tcW w:w="2303" w:type="dxa"/>
          </w:tcPr>
          <w:p w:rsidR="00762D2D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3 818 150</w:t>
            </w:r>
          </w:p>
        </w:tc>
      </w:tr>
      <w:tr w:rsidR="00D165DE" w:rsidRPr="00BD129C" w:rsidTr="003233A6">
        <w:tc>
          <w:tcPr>
            <w:tcW w:w="2303" w:type="dxa"/>
          </w:tcPr>
          <w:p w:rsidR="00D165DE" w:rsidRPr="00BD129C" w:rsidRDefault="00D13EB4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KÖH</w:t>
            </w:r>
          </w:p>
        </w:tc>
        <w:tc>
          <w:tcPr>
            <w:tcW w:w="2303" w:type="dxa"/>
          </w:tcPr>
          <w:p w:rsidR="00D165DE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33 634 400</w:t>
            </w:r>
          </w:p>
        </w:tc>
        <w:tc>
          <w:tcPr>
            <w:tcW w:w="2303" w:type="dxa"/>
          </w:tcPr>
          <w:p w:rsidR="00D165DE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7 681 490</w:t>
            </w:r>
          </w:p>
        </w:tc>
        <w:tc>
          <w:tcPr>
            <w:tcW w:w="2303" w:type="dxa"/>
          </w:tcPr>
          <w:p w:rsidR="00D165DE" w:rsidRPr="00BD129C" w:rsidRDefault="00D13EB4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7 501 000</w:t>
            </w:r>
          </w:p>
        </w:tc>
      </w:tr>
      <w:tr w:rsidR="00762D2D" w:rsidRPr="00BD129C" w:rsidTr="003233A6">
        <w:tc>
          <w:tcPr>
            <w:tcW w:w="2303" w:type="dxa"/>
          </w:tcPr>
          <w:p w:rsidR="00762D2D" w:rsidRPr="00410C1A" w:rsidRDefault="006132D8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410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Összesen:</w:t>
            </w:r>
          </w:p>
        </w:tc>
        <w:tc>
          <w:tcPr>
            <w:tcW w:w="2303" w:type="dxa"/>
          </w:tcPr>
          <w:p w:rsidR="00762D2D" w:rsidRPr="00410C1A" w:rsidRDefault="000D64C6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90 244 259</w:t>
            </w:r>
          </w:p>
        </w:tc>
        <w:tc>
          <w:tcPr>
            <w:tcW w:w="2303" w:type="dxa"/>
          </w:tcPr>
          <w:p w:rsidR="00762D2D" w:rsidRPr="00410C1A" w:rsidRDefault="00D13EB4" w:rsidP="00D13EB4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410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20 057 49</w:t>
            </w:r>
            <w:r w:rsidR="006132D8" w:rsidRPr="00410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0</w:t>
            </w:r>
          </w:p>
        </w:tc>
        <w:tc>
          <w:tcPr>
            <w:tcW w:w="2303" w:type="dxa"/>
          </w:tcPr>
          <w:p w:rsidR="00762D2D" w:rsidRPr="00410C1A" w:rsidRDefault="000D64C6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48 0</w:t>
            </w:r>
            <w:r w:rsidR="00D13EB4" w:rsidRPr="00410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93 5</w:t>
            </w:r>
            <w:r w:rsidR="006132D8" w:rsidRPr="00410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00</w:t>
            </w:r>
          </w:p>
        </w:tc>
      </w:tr>
    </w:tbl>
    <w:p w:rsidR="00024B30" w:rsidRDefault="00024B30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D924E5" w:rsidRDefault="002E679A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Bajót Község Önkormányzat</w:t>
      </w:r>
      <w:r w:rsidR="00EF378E"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köznevelési feladatok működéséhez 30 461 474 Ft </w:t>
      </w:r>
      <w:r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támogatás</w:t>
      </w:r>
      <w:r w:rsidR="00930B06"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ba részesülünk, kiadásainak </w:t>
      </w:r>
      <w:r w:rsidR="00EF378E"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főösszege 44 830 150 Ft</w:t>
      </w:r>
      <w:r w:rsidR="00930B06" w:rsidRPr="00930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930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különbözet -14 368 760 Ft.</w:t>
      </w:r>
      <w:proofErr w:type="gramStart"/>
      <w:r w:rsidR="00930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 részletes</w:t>
      </w:r>
      <w:proofErr w:type="gramEnd"/>
      <w:r w:rsidR="00930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kimutatását a 7. számú melléklet tartalmazza)</w:t>
      </w:r>
    </w:p>
    <w:p w:rsidR="00D924E5" w:rsidRDefault="00D924E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D924E5" w:rsidRDefault="00D924E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D924E5" w:rsidRDefault="00D924E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62D2D" w:rsidRPr="00BD129C" w:rsidRDefault="00AC7967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Működés célú támogatások </w:t>
      </w:r>
      <w:r w:rsidR="0041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és az ellátottak juttatásait a 8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0D6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melléklet tartalmazza részletesen.</w:t>
      </w:r>
    </w:p>
    <w:p w:rsidR="00AC7967" w:rsidRPr="00BD129C" w:rsidRDefault="00AC7967" w:rsidP="00AC7967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Civil szervezete</w:t>
      </w:r>
      <w:r w:rsidR="00D13E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 támogatására javasolt összeg 6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00 000 Ft.</w:t>
      </w:r>
    </w:p>
    <w:p w:rsidR="00AC7967" w:rsidRPr="00BD129C" w:rsidRDefault="00AC7967" w:rsidP="00AC7967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gyermekjóléti- és családsegítő szolgálat működési kiadásaihoz nyújtandó finanszírozás államháztartáson belülre nyújtott támogatásként jelenik meg önkormányzatunknál. 201</w:t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7. évi támogatás összege 1 130 643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Ft</w:t>
      </w:r>
    </w:p>
    <w:p w:rsidR="00AC7967" w:rsidRPr="00BD129C" w:rsidRDefault="00AC7967" w:rsidP="005A09CA">
      <w:pPr>
        <w:pStyle w:val="Listaszerbekezds"/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62D2D" w:rsidRPr="00BD129C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Ellátottak juttatásai</w:t>
      </w:r>
    </w:p>
    <w:p w:rsidR="00704244" w:rsidRPr="00BD129C" w:rsidRDefault="00704244" w:rsidP="00704244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</w:t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epülési támogatás </w:t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8 533 357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Ft</w:t>
      </w:r>
    </w:p>
    <w:p w:rsidR="00704244" w:rsidRPr="00BD129C" w:rsidRDefault="00704244" w:rsidP="00704244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“</w:t>
      </w:r>
      <w:proofErr w:type="spellStart"/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Bursa</w:t>
      </w:r>
      <w:proofErr w:type="spellEnd"/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Hunga</w:t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rica” támogatási </w:t>
      </w:r>
      <w:proofErr w:type="gramStart"/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rendszer</w:t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5A0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   40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</w:t>
      </w:r>
      <w:proofErr w:type="gramEnd"/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 000 Ft</w:t>
      </w:r>
    </w:p>
    <w:p w:rsidR="00762D2D" w:rsidRPr="00BD129C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Felhalmozási kiadások </w:t>
      </w:r>
    </w:p>
    <w:p w:rsidR="00704244" w:rsidRPr="00024B30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10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beruházásokat</w:t>
      </w:r>
      <w:r w:rsidR="00D924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felújítások részletezését </w:t>
      </w:r>
      <w:r w:rsidR="00410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D924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8, </w:t>
      </w:r>
      <w:r w:rsidR="00410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9</w:t>
      </w:r>
      <w:r w:rsidR="00CE4C1D" w:rsidRPr="00BD1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me</w:t>
      </w:r>
      <w:r w:rsidR="00D924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lléklet tartalmazza.</w:t>
      </w:r>
    </w:p>
    <w:p w:rsidR="00704244" w:rsidRDefault="00CE4C1D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hu-HU"/>
        </w:rPr>
        <w:t xml:space="preserve">Tartalék </w:t>
      </w:r>
    </w:p>
    <w:p w:rsidR="00D924E5" w:rsidRPr="00D924E5" w:rsidRDefault="00D924E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D92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Működési tartalékra betervezett összeg 100.000 Forint,</w:t>
      </w:r>
    </w:p>
    <w:p w:rsidR="00704244" w:rsidRPr="00BD129C" w:rsidRDefault="00601C89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hu-HU"/>
        </w:rPr>
        <w:t>Létszám</w:t>
      </w:r>
      <w:r w:rsidR="00C274B1" w:rsidRPr="00BD12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hu-HU"/>
        </w:rPr>
        <w:t>keret</w:t>
      </w:r>
    </w:p>
    <w:p w:rsidR="005A09CA" w:rsidRPr="00024B30" w:rsidRDefault="00B10371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>Az éves létszámkeretet az Önkormányzat,</w:t>
      </w:r>
      <w:r w:rsidR="005A09CA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Bajóti Közös Hivatal, Hétszínvirág</w:t>
      </w:r>
      <w:r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Óvoda vonatkozásában részletezve és önkor</w:t>
      </w:r>
      <w:r w:rsidR="00410C1A">
        <w:rPr>
          <w:rFonts w:ascii="Times New Roman" w:eastAsia="Times New Roman" w:hAnsi="Times New Roman" w:cs="Times New Roman"/>
          <w:bCs/>
          <w:color w:val="000000"/>
          <w:lang w:eastAsia="hu-HU"/>
        </w:rPr>
        <w:t>mányzati szinten összesítve a 14</w:t>
      </w:r>
      <w:r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>.</w:t>
      </w:r>
      <w:r w:rsidR="00BA6465"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>melléklet mutatja.</w:t>
      </w:r>
    </w:p>
    <w:p w:rsidR="00704244" w:rsidRPr="00BD129C" w:rsidRDefault="00601C89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hu-HU"/>
        </w:rPr>
        <w:t>Közvetett támogatások</w:t>
      </w:r>
    </w:p>
    <w:p w:rsidR="00BD129C" w:rsidRPr="00024B30" w:rsidRDefault="00601C89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 közvetett támogatásokat </w:t>
      </w:r>
      <w:r w:rsidR="00410C1A">
        <w:rPr>
          <w:rFonts w:ascii="Times New Roman" w:eastAsia="Times New Roman" w:hAnsi="Times New Roman" w:cs="Times New Roman"/>
          <w:bCs/>
          <w:color w:val="000000"/>
          <w:lang w:eastAsia="hu-HU"/>
        </w:rPr>
        <w:t>tartalmazó kimutatást a 15.</w:t>
      </w:r>
      <w:r w:rsidR="00B10371" w:rsidRPr="00BD129C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melléklet tartalmazza részletesen.</w:t>
      </w:r>
    </w:p>
    <w:p w:rsidR="00B10371" w:rsidRPr="00BD129C" w:rsidRDefault="00B1037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hu-HU"/>
        </w:rPr>
      </w:pPr>
      <w:r w:rsidRPr="00BD129C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hu-HU"/>
        </w:rPr>
        <w:t>Adóságot keletkeztető ügyletek</w:t>
      </w:r>
    </w:p>
    <w:p w:rsidR="003C4D4C" w:rsidRPr="00410C1A" w:rsidRDefault="00B10371" w:rsidP="00410C1A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</w:pPr>
      <w:r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 xml:space="preserve">A stabilitási tv. 3.§ (1) bekezdése szerinti 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adósságot keletkeztető ügyletekből fen</w:t>
      </w:r>
      <w:r w:rsidR="00BA6465"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n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álló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 xml:space="preserve"> 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kötelezettségei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>t az adósságot keletkeztető üg</w:t>
      </w:r>
      <w:r w:rsidR="00BA6465"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>yletek futamidejének végéig, va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 xml:space="preserve">lamint a </w:t>
      </w:r>
      <w:r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saját bevételeket</w:t>
      </w:r>
      <w:r w:rsidRPr="00BD129C">
        <w:rPr>
          <w:rFonts w:ascii="Times New Roman" w:eastAsia="Times New Roman" w:hAnsi="Times New Roman" w:cs="Times New Roman"/>
          <w:bCs/>
          <w:color w:val="000000"/>
          <w:sz w:val="24"/>
          <w:lang w:eastAsia="hu-HU"/>
        </w:rPr>
        <w:t xml:space="preserve"> be kell mutatni. Ezt tartalmazza a </w:t>
      </w:r>
      <w:r w:rsidR="00410C1A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16</w:t>
      </w:r>
      <w:r w:rsidR="00A901C6"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.</w:t>
      </w:r>
      <w:r w:rsidR="00BA6465"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r w:rsidR="00A901C6" w:rsidRPr="00BD129C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melléklet.</w:t>
      </w:r>
    </w:p>
    <w:p w:rsidR="00D924E5" w:rsidRDefault="00D924E5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hu-HU"/>
        </w:rPr>
      </w:pPr>
    </w:p>
    <w:p w:rsidR="003C4D4C" w:rsidRPr="00410C1A" w:rsidRDefault="006350CB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hu-HU"/>
        </w:rPr>
      </w:pPr>
      <w:r w:rsidRPr="00410C1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hu-HU"/>
        </w:rPr>
        <w:t>Egyéb követelmények, tájékoztatási kötelezettség</w:t>
      </w:r>
    </w:p>
    <w:p w:rsidR="003C4D4C" w:rsidRDefault="006350CB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költségvetés előterjesztésekor a képviselő-</w:t>
      </w:r>
      <w:r w:rsidR="00BA6465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testület részére tájékoztatásul</w:t>
      </w: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következő mérlegeket</w:t>
      </w:r>
      <w:r w:rsidR="00E07DE3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kimutatásokat kell – szöveges indoklással együtt – bemutatni:</w:t>
      </w:r>
    </w:p>
    <w:p w:rsidR="00D924E5" w:rsidRPr="00410C1A" w:rsidRDefault="00D924E5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50CB" w:rsidRPr="00410C1A" w:rsidRDefault="006350CB" w:rsidP="006350CB">
      <w:pPr>
        <w:pStyle w:val="Listaszerbekezds"/>
        <w:numPr>
          <w:ilvl w:val="0"/>
          <w:numId w:val="17"/>
        </w:num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előirányzat felhasználási tervét </w:t>
      </w:r>
      <w:proofErr w:type="gramStart"/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( 1</w:t>
      </w:r>
      <w:proofErr w:type="gramEnd"/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táblázat )</w:t>
      </w:r>
    </w:p>
    <w:p w:rsidR="006350CB" w:rsidRPr="00410C1A" w:rsidRDefault="007649DE" w:rsidP="007649DE">
      <w:pPr>
        <w:pStyle w:val="Listaszerbekezds"/>
        <w:numPr>
          <w:ilvl w:val="0"/>
          <w:numId w:val="17"/>
        </w:num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Önként vállalt feladatok </w:t>
      </w:r>
      <w:proofErr w:type="gramStart"/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( 2</w:t>
      </w:r>
      <w:proofErr w:type="gramEnd"/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táblázat )</w:t>
      </w:r>
    </w:p>
    <w:p w:rsidR="006350CB" w:rsidRPr="00410C1A" w:rsidRDefault="006350CB" w:rsidP="006350CB">
      <w:pPr>
        <w:pStyle w:val="Listaszerbekezds"/>
        <w:numPr>
          <w:ilvl w:val="0"/>
          <w:numId w:val="17"/>
        </w:num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költségvetési évet követő három év tervezett bevételi előirányzatainak és kiadási előirányzatainak keretszámait főbb csoportokban</w:t>
      </w:r>
      <w:r w:rsidR="00BA6465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(3</w:t>
      </w:r>
      <w:proofErr w:type="gramStart"/>
      <w:r w:rsidR="00BA6465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7649DE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táblázat</w:t>
      </w:r>
      <w:proofErr w:type="gramEnd"/>
      <w:r w:rsidR="007649DE" w:rsidRPr="00410C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)</w:t>
      </w:r>
    </w:p>
    <w:p w:rsidR="003C4D4C" w:rsidRPr="00024B30" w:rsidRDefault="007649DE" w:rsidP="00024B30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Áht.§(4) bekezdés b) pontja előírja, hogy a költségvetés beterjesztéskor a Képviselő-testület részére tájékoztatásul be kell mutatni a </w:t>
      </w:r>
      <w:r w:rsidRPr="00BD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több éves kihatással járó döntések</w:t>
      </w: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D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számszerűsítését évenkénti bontásban és összesítve</w:t>
      </w: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Önkormányzatunk többéves kihatással jár</w:t>
      </w:r>
      <w:r w:rsidR="00BA6465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 kötelezettséggel nem rendelkezi</w:t>
      </w: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k. A </w:t>
      </w:r>
      <w:r w:rsidRPr="00BD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költségvetési évet követő követő három év </w:t>
      </w: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tervezett bevételi előirányzatainak és kiadási előirányzatainak keretszámait főbb csoportokban a </w:t>
      </w:r>
      <w:r w:rsidRPr="00BD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3. számú tájékoztató tábla </w:t>
      </w: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foglalja össze</w:t>
      </w:r>
      <w:r w:rsidRPr="00BD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</w:p>
    <w:p w:rsidR="007649DE" w:rsidRPr="00BD129C" w:rsidRDefault="007649DE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Kérjük az előterjesztés </w:t>
      </w:r>
      <w:r w:rsidR="00EC600C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megvitatás utáni elfogadását.</w:t>
      </w:r>
    </w:p>
    <w:p w:rsidR="00EC600C" w:rsidRPr="00E07DE3" w:rsidRDefault="005A09CA" w:rsidP="00EC600C">
      <w:p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Bajót</w:t>
      </w:r>
      <w:r w:rsidR="00EC600C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201</w:t>
      </w:r>
      <w:r w:rsidR="007649DE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="005C4172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DF70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március 5</w:t>
      </w:r>
      <w:r w:rsidR="00C274B1" w:rsidRPr="00BD12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EC600C" w:rsidRPr="00BD129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EC600C" w:rsidRPr="00BD129C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D129C" w:rsidRDefault="005A09CA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Zoltán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D129C" w:rsidRDefault="005C4172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r w:rsidR="00EC600C"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Tarnóczy Tünde</w:t>
            </w:r>
          </w:p>
        </w:tc>
      </w:tr>
      <w:tr w:rsidR="00EC600C" w:rsidRPr="00BD129C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D129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D129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12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B2298E" w:rsidRPr="00BD129C" w:rsidRDefault="00B2298E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B2298E" w:rsidRPr="00BD129C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633"/>
    <w:multiLevelType w:val="hybridMultilevel"/>
    <w:tmpl w:val="9438CBFC"/>
    <w:lvl w:ilvl="0" w:tplc="F0B4AA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F02"/>
    <w:multiLevelType w:val="hybridMultilevel"/>
    <w:tmpl w:val="279E2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88A"/>
    <w:multiLevelType w:val="hybridMultilevel"/>
    <w:tmpl w:val="19B6B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ABA"/>
    <w:multiLevelType w:val="hybridMultilevel"/>
    <w:tmpl w:val="D3609576"/>
    <w:lvl w:ilvl="0" w:tplc="2EEC75B2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9130D"/>
    <w:multiLevelType w:val="hybridMultilevel"/>
    <w:tmpl w:val="89FE59E4"/>
    <w:lvl w:ilvl="0" w:tplc="1108AD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440D"/>
    <w:multiLevelType w:val="hybridMultilevel"/>
    <w:tmpl w:val="D6B204D4"/>
    <w:lvl w:ilvl="0" w:tplc="5B624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B6CE5"/>
    <w:multiLevelType w:val="hybridMultilevel"/>
    <w:tmpl w:val="955ED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7307A"/>
    <w:multiLevelType w:val="hybridMultilevel"/>
    <w:tmpl w:val="EC04E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0726"/>
    <w:multiLevelType w:val="hybridMultilevel"/>
    <w:tmpl w:val="EB30154E"/>
    <w:lvl w:ilvl="0" w:tplc="A804458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41B69"/>
    <w:multiLevelType w:val="hybridMultilevel"/>
    <w:tmpl w:val="2A928BC2"/>
    <w:lvl w:ilvl="0" w:tplc="6C1A7A7A">
      <w:start w:val="2"/>
      <w:numFmt w:val="decimal"/>
      <w:lvlText w:val="%1"/>
      <w:lvlJc w:val="left"/>
      <w:pPr>
        <w:ind w:left="810" w:hanging="450"/>
      </w:pPr>
      <w:rPr>
        <w:rFonts w:hint="default"/>
        <w:b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0203E"/>
    <w:multiLevelType w:val="hybridMultilevel"/>
    <w:tmpl w:val="91F88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64B47"/>
    <w:multiLevelType w:val="hybridMultilevel"/>
    <w:tmpl w:val="D7080C18"/>
    <w:lvl w:ilvl="0" w:tplc="2E78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A2194"/>
    <w:multiLevelType w:val="hybridMultilevel"/>
    <w:tmpl w:val="5CAE1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E4B6B"/>
    <w:multiLevelType w:val="hybridMultilevel"/>
    <w:tmpl w:val="E912F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F08B3"/>
    <w:multiLevelType w:val="hybridMultilevel"/>
    <w:tmpl w:val="C75CA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253AC"/>
    <w:multiLevelType w:val="hybridMultilevel"/>
    <w:tmpl w:val="4D7E4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F7972"/>
    <w:multiLevelType w:val="hybridMultilevel"/>
    <w:tmpl w:val="A9CC7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172E6"/>
    <w:multiLevelType w:val="hybridMultilevel"/>
    <w:tmpl w:val="E74E30BC"/>
    <w:lvl w:ilvl="0" w:tplc="E0AEEE42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6"/>
  </w:num>
  <w:num w:numId="11">
    <w:abstractNumId w:val="17"/>
  </w:num>
  <w:num w:numId="12">
    <w:abstractNumId w:val="12"/>
  </w:num>
  <w:num w:numId="13">
    <w:abstractNumId w:val="1"/>
  </w:num>
  <w:num w:numId="14">
    <w:abstractNumId w:val="7"/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600C"/>
    <w:rsid w:val="00024B30"/>
    <w:rsid w:val="000D1944"/>
    <w:rsid w:val="000D2AC1"/>
    <w:rsid w:val="000D64C6"/>
    <w:rsid w:val="000D7A91"/>
    <w:rsid w:val="001156E3"/>
    <w:rsid w:val="00152CE0"/>
    <w:rsid w:val="001A7614"/>
    <w:rsid w:val="002B0D1C"/>
    <w:rsid w:val="002E679A"/>
    <w:rsid w:val="003233A6"/>
    <w:rsid w:val="00351A69"/>
    <w:rsid w:val="00372629"/>
    <w:rsid w:val="003A477E"/>
    <w:rsid w:val="003C4D4C"/>
    <w:rsid w:val="00410C1A"/>
    <w:rsid w:val="0041497A"/>
    <w:rsid w:val="004318FA"/>
    <w:rsid w:val="004D3B05"/>
    <w:rsid w:val="004D7459"/>
    <w:rsid w:val="004E3283"/>
    <w:rsid w:val="00504957"/>
    <w:rsid w:val="00520CE5"/>
    <w:rsid w:val="0052213F"/>
    <w:rsid w:val="00547060"/>
    <w:rsid w:val="005A09CA"/>
    <w:rsid w:val="005C4172"/>
    <w:rsid w:val="005D7B80"/>
    <w:rsid w:val="00601C89"/>
    <w:rsid w:val="0060465E"/>
    <w:rsid w:val="006132D8"/>
    <w:rsid w:val="006350CB"/>
    <w:rsid w:val="006B27D5"/>
    <w:rsid w:val="00704244"/>
    <w:rsid w:val="00711C2E"/>
    <w:rsid w:val="00712818"/>
    <w:rsid w:val="00724E79"/>
    <w:rsid w:val="00762D2D"/>
    <w:rsid w:val="007649DE"/>
    <w:rsid w:val="00786BD9"/>
    <w:rsid w:val="007B08BF"/>
    <w:rsid w:val="007C68FE"/>
    <w:rsid w:val="007D449E"/>
    <w:rsid w:val="00844811"/>
    <w:rsid w:val="00873AA5"/>
    <w:rsid w:val="0089159E"/>
    <w:rsid w:val="008E1323"/>
    <w:rsid w:val="00925B4B"/>
    <w:rsid w:val="00930B06"/>
    <w:rsid w:val="0095492B"/>
    <w:rsid w:val="0096241A"/>
    <w:rsid w:val="0097523C"/>
    <w:rsid w:val="009C5763"/>
    <w:rsid w:val="009E6E3B"/>
    <w:rsid w:val="00A06EDA"/>
    <w:rsid w:val="00A52F3D"/>
    <w:rsid w:val="00A61F14"/>
    <w:rsid w:val="00A901C6"/>
    <w:rsid w:val="00A9264A"/>
    <w:rsid w:val="00AC3222"/>
    <w:rsid w:val="00AC3476"/>
    <w:rsid w:val="00AC7967"/>
    <w:rsid w:val="00AE02A5"/>
    <w:rsid w:val="00B10371"/>
    <w:rsid w:val="00B2298E"/>
    <w:rsid w:val="00B76460"/>
    <w:rsid w:val="00BA6465"/>
    <w:rsid w:val="00BD129C"/>
    <w:rsid w:val="00BD3D1E"/>
    <w:rsid w:val="00BE454D"/>
    <w:rsid w:val="00BE76CC"/>
    <w:rsid w:val="00C274B1"/>
    <w:rsid w:val="00C326E0"/>
    <w:rsid w:val="00C7353E"/>
    <w:rsid w:val="00CB22CD"/>
    <w:rsid w:val="00CE4C1D"/>
    <w:rsid w:val="00D13EB4"/>
    <w:rsid w:val="00D165DE"/>
    <w:rsid w:val="00D31DA8"/>
    <w:rsid w:val="00D62ECD"/>
    <w:rsid w:val="00D84716"/>
    <w:rsid w:val="00D87E55"/>
    <w:rsid w:val="00D924E5"/>
    <w:rsid w:val="00DD1CA7"/>
    <w:rsid w:val="00DF7036"/>
    <w:rsid w:val="00E07DE3"/>
    <w:rsid w:val="00E07E14"/>
    <w:rsid w:val="00E923AF"/>
    <w:rsid w:val="00EC600C"/>
    <w:rsid w:val="00EE005B"/>
    <w:rsid w:val="00EF378E"/>
    <w:rsid w:val="00F14B13"/>
    <w:rsid w:val="00F5271D"/>
    <w:rsid w:val="00FA26F8"/>
    <w:rsid w:val="00FB4350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8FA"/>
    <w:pPr>
      <w:ind w:left="720"/>
      <w:contextualSpacing/>
    </w:pPr>
  </w:style>
  <w:style w:type="table" w:styleId="Rcsostblzat">
    <w:name w:val="Table Grid"/>
    <w:basedOn w:val="Normltblzat"/>
    <w:uiPriority w:val="59"/>
    <w:rsid w:val="0071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995</Words>
  <Characters>6872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Eta</cp:lastModifiedBy>
  <cp:revision>7</cp:revision>
  <cp:lastPrinted>2017-02-09T13:47:00Z</cp:lastPrinted>
  <dcterms:created xsi:type="dcterms:W3CDTF">2017-02-13T09:00:00Z</dcterms:created>
  <dcterms:modified xsi:type="dcterms:W3CDTF">2017-03-09T07:24:00Z</dcterms:modified>
</cp:coreProperties>
</file>