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sz w:val="18"/>
          <w:szCs w:val="18"/>
          <w:lang w:eastAsia="hu-HU"/>
        </w:rPr>
      </w:pPr>
      <w:r w:rsidRPr="000055FD">
        <w:rPr>
          <w:rFonts w:ascii="Arial Narrow" w:hAnsi="Arial Narrow" w:cs="Arial"/>
          <w:sz w:val="18"/>
          <w:szCs w:val="18"/>
          <w:lang w:eastAsia="hu-HU"/>
        </w:rPr>
        <w:t>1. melléklet a</w:t>
      </w:r>
      <w:r>
        <w:rPr>
          <w:rFonts w:ascii="Arial Narrow" w:hAnsi="Arial Narrow" w:cs="Arial"/>
          <w:sz w:val="18"/>
          <w:szCs w:val="18"/>
          <w:lang w:eastAsia="hu-HU"/>
        </w:rPr>
        <w:t xml:space="preserve"> </w:t>
      </w:r>
      <w:r w:rsidR="00FA7FDD">
        <w:rPr>
          <w:rFonts w:ascii="Arial Narrow" w:hAnsi="Arial Narrow" w:cs="Arial"/>
          <w:sz w:val="18"/>
          <w:szCs w:val="18"/>
          <w:lang w:eastAsia="hu-HU"/>
        </w:rPr>
        <w:t xml:space="preserve">17/2017. (XII. 22.) </w:t>
      </w:r>
      <w:bookmarkStart w:id="0" w:name="_GoBack"/>
      <w:bookmarkEnd w:id="0"/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 </w:t>
      </w:r>
      <w:r w:rsidRPr="000055FD">
        <w:rPr>
          <w:rFonts w:ascii="Arial Narrow" w:hAnsi="Arial Narrow" w:cs="Arial"/>
          <w:sz w:val="18"/>
          <w:szCs w:val="18"/>
          <w:lang w:eastAsia="hu-HU"/>
        </w:rPr>
        <w:t xml:space="preserve">önkormányzati rendelethez </w:t>
      </w:r>
    </w:p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b/>
          <w:bCs/>
          <w:color w:val="000000"/>
          <w:sz w:val="18"/>
          <w:szCs w:val="18"/>
          <w:lang w:eastAsia="hu-HU"/>
        </w:rPr>
      </w:pPr>
    </w:p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b/>
          <w:bCs/>
          <w:color w:val="000000"/>
          <w:sz w:val="18"/>
          <w:szCs w:val="18"/>
          <w:lang w:eastAsia="hu-HU"/>
        </w:rPr>
      </w:pPr>
    </w:p>
    <w:p w:rsidR="0066206B" w:rsidRPr="000348C8" w:rsidRDefault="0066206B" w:rsidP="000348C8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b/>
          <w:bCs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</w:t>
      </w:r>
    </w:p>
    <w:p w:rsidR="0066206B" w:rsidRPr="000348C8" w:rsidRDefault="0066206B" w:rsidP="000348C8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 xml:space="preserve"> forgalomképtelen önkormányzati törzsvagyona</w:t>
      </w:r>
    </w:p>
    <w:p w:rsidR="0066206B" w:rsidRPr="000348C8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t> </w:t>
      </w:r>
    </w:p>
    <w:p w:rsidR="0066206B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W w:w="8880" w:type="dxa"/>
        <w:tblInd w:w="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2"/>
        <w:gridCol w:w="1354"/>
        <w:gridCol w:w="1990"/>
        <w:gridCol w:w="1189"/>
        <w:gridCol w:w="1323"/>
        <w:gridCol w:w="1422"/>
      </w:tblGrid>
      <w:tr w:rsidR="0066206B" w:rsidRPr="00E90AD9" w:rsidTr="000348C8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Ady Endre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7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1872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7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975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haszn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60/240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0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4908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8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285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Óvoda előtti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3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2035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4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1142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Kossuth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11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5115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Kert, játszótér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4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1548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118/1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Radosi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118/2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0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2509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vízmosás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2047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Rákóczi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Jókai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649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37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1375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Petőfi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7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5718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Hegyalja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Bakosdomb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8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1284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Bakosdomb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5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1757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3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2324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rPr>
          <w:trHeight w:val="128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  <w:p w:rsidR="0066206B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329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József Attila utca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77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8771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Egry J.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5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3550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355/3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Játszótér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3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2344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Arany J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2441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Dózsa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6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2466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03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3035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441/4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Balaton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466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Dózsa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3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1937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0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3501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1935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531/2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531/3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598/1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652/1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801/1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1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314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859/1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2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5283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9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994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3432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2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327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1087/2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7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3677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Vízmosás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4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4454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8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3881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Rumi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32253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29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8295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1249/15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0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4080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1249/20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4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940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1348/2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6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1767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3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5436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56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szám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38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5385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4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948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temetői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990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4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2641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vizmosás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83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4837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2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1523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1561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1603/2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7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2577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1623/1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1623/2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sh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1628/4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  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01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1019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1709/3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649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5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3658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0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1207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212m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1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2113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közút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6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7606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81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2811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25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3251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0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5401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3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2233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667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014/12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kivett. saját használatú  út és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8135m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8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3682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8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1782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312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1119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42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rPr>
          <w:trHeight w:val="486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rPr>
          <w:trHeight w:val="283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 és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3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3374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0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3098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033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1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7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4781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035/26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035/39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1434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6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3661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0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1904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040/28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17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4172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15 m2"/>
              </w:smartTagPr>
              <w:r w:rsidRPr="000348C8">
                <w:rPr>
                  <w:rFonts w:ascii="Arial Narrow" w:hAnsi="Arial Narrow" w:cs="Arial"/>
                  <w:color w:val="000000"/>
                  <w:shd w:val="clear" w:color="auto" w:fill="F2F2F2"/>
                  <w:lang w:eastAsia="hu-HU"/>
                </w:rPr>
                <w:t>3915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272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044/2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0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409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044/10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2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2429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045/16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5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1851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049/1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5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9518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049/2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6271m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6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6689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6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2064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9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3990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0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1103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4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1843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062/1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36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4362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089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F2F2F2"/>
                  <w:lang w:eastAsia="hu-HU"/>
                </w:rPr>
                <w:t>1089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59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3559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sh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út, és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50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4250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072/3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44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D9D9D9"/>
                  <w:lang w:eastAsia="hu-HU"/>
                </w:rPr>
                <w:t>844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közforg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elől el nem zárt magánút és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7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1878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074/58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haszn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külerület</w:t>
            </w:r>
            <w:proofErr w:type="spell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26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626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276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D9D9D9"/>
                  <w:lang w:eastAsia="hu-HU"/>
                </w:rPr>
                <w:t>8276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079/23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36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1368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899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4899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94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2948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084/14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0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3408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085/31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közút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771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3771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rPr>
          <w:trHeight w:val="20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161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4161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13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513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53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3453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shd w:val="clear" w:color="auto" w:fill="D9D9D9"/>
                <w:lang w:eastAsia="hu-HU"/>
              </w:rPr>
              <w:t>504m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2 ha 3848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FFFFFF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shd w:val="clear" w:color="auto" w:fill="D9D9D9"/>
                <w:lang w:eastAsia="hu-HU"/>
              </w:rPr>
              <w:t>2534</w:t>
            </w: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Patak (Világos patak)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 ha 9964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6260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tér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676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</w:tbl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lastRenderedPageBreak/>
        <w:br w:type="textWrapping" w:clear="all"/>
      </w: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2F021E"/>
    <w:rsid w:val="003B0D97"/>
    <w:rsid w:val="004318B4"/>
    <w:rsid w:val="004D2B7E"/>
    <w:rsid w:val="00517EED"/>
    <w:rsid w:val="00567CE1"/>
    <w:rsid w:val="0066206B"/>
    <w:rsid w:val="006D7B1B"/>
    <w:rsid w:val="00717568"/>
    <w:rsid w:val="0074195A"/>
    <w:rsid w:val="007F4688"/>
    <w:rsid w:val="00807340"/>
    <w:rsid w:val="00826D58"/>
    <w:rsid w:val="0083171B"/>
    <w:rsid w:val="0086060C"/>
    <w:rsid w:val="00895AAC"/>
    <w:rsid w:val="009333F3"/>
    <w:rsid w:val="00AD5A04"/>
    <w:rsid w:val="00B57BD1"/>
    <w:rsid w:val="00B7331B"/>
    <w:rsid w:val="00C6524E"/>
    <w:rsid w:val="00CE12FA"/>
    <w:rsid w:val="00D81C90"/>
    <w:rsid w:val="00DC48A7"/>
    <w:rsid w:val="00E90AD9"/>
    <w:rsid w:val="00FA7FDD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5A2C8"/>
  <w15:docId w15:val="{FDC809A2-8622-4D2B-A3B0-1DF965B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7336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3</cp:revision>
  <cp:lastPrinted>2018-05-31T11:30:00Z</cp:lastPrinted>
  <dcterms:created xsi:type="dcterms:W3CDTF">2018-06-20T09:02:00Z</dcterms:created>
  <dcterms:modified xsi:type="dcterms:W3CDTF">2018-06-20T10:30:00Z</dcterms:modified>
</cp:coreProperties>
</file>