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F9" w:rsidRPr="00E97E44" w:rsidRDefault="004335F9" w:rsidP="004335F9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4335F9" w:rsidRPr="00E2320B" w:rsidRDefault="004335F9" w:rsidP="004335F9">
      <w:pPr>
        <w:pStyle w:val="Cmsor1"/>
        <w:rPr>
          <w:szCs w:val="24"/>
        </w:rPr>
      </w:pPr>
    </w:p>
    <w:bookmarkEnd w:id="0"/>
    <w:p w:rsidR="004335F9" w:rsidRDefault="004335F9" w:rsidP="004335F9">
      <w:pPr>
        <w:pStyle w:val="Listaszerbekezds"/>
        <w:rPr>
          <w:b/>
          <w:szCs w:val="24"/>
        </w:rPr>
      </w:pPr>
    </w:p>
    <w:p w:rsidR="004335F9" w:rsidRPr="00836999" w:rsidRDefault="004335F9" w:rsidP="004335F9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4335F9" w:rsidRPr="00836999" w:rsidRDefault="004335F9" w:rsidP="004335F9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4335F9" w:rsidRPr="00836999" w:rsidRDefault="004335F9" w:rsidP="004335F9">
      <w:pPr>
        <w:pStyle w:val="Listaszerbekezds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4335F9" w:rsidRPr="00836999" w:rsidRDefault="004335F9" w:rsidP="004335F9">
      <w:pPr>
        <w:pStyle w:val="Listaszerbekezds"/>
        <w:ind w:left="426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4335F9" w:rsidRPr="00836999" w:rsidRDefault="004335F9" w:rsidP="004335F9">
      <w:pPr>
        <w:pStyle w:val="Listaszerbekezds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4335F9" w:rsidRPr="00836999" w:rsidRDefault="004335F9" w:rsidP="004335F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4335F9" w:rsidRPr="00836999" w:rsidRDefault="004335F9" w:rsidP="004335F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4335F9" w:rsidRPr="00836999" w:rsidRDefault="004335F9" w:rsidP="004335F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4335F9" w:rsidRPr="00836999" w:rsidRDefault="004335F9" w:rsidP="004335F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4335F9" w:rsidRPr="00836999" w:rsidRDefault="004335F9" w:rsidP="004335F9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4335F9" w:rsidRPr="00836999" w:rsidRDefault="004335F9" w:rsidP="004335F9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4335F9" w:rsidRPr="00836999" w:rsidRDefault="004335F9" w:rsidP="004335F9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4335F9" w:rsidRPr="00836999" w:rsidRDefault="004335F9" w:rsidP="004335F9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4335F9" w:rsidRPr="00836999" w:rsidRDefault="004335F9" w:rsidP="004335F9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4335F9" w:rsidRPr="00836999" w:rsidRDefault="004335F9" w:rsidP="004335F9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4335F9" w:rsidRPr="00836999" w:rsidRDefault="004335F9" w:rsidP="004335F9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4335F9" w:rsidRPr="00836999" w:rsidRDefault="004335F9" w:rsidP="004335F9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4335F9" w:rsidRPr="00836999" w:rsidRDefault="004335F9" w:rsidP="004335F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4335F9" w:rsidRPr="00836999" w:rsidRDefault="004335F9" w:rsidP="004335F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4335F9" w:rsidRPr="00836999" w:rsidRDefault="004335F9" w:rsidP="004335F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4335F9" w:rsidRPr="00836999" w:rsidRDefault="004335F9" w:rsidP="004335F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4335F9" w:rsidRPr="00836999" w:rsidRDefault="004335F9" w:rsidP="004335F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4335F9" w:rsidRPr="00836999" w:rsidRDefault="004335F9" w:rsidP="004335F9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4335F9" w:rsidRPr="004335F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 feladatkörei: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4335F9" w:rsidRPr="00836999" w:rsidRDefault="004335F9" w:rsidP="004335F9">
      <w:pPr>
        <w:pStyle w:val="Listaszerbekezds"/>
        <w:ind w:left="709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4335F9" w:rsidRPr="00836999" w:rsidRDefault="004335F9" w:rsidP="004335F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véleményezi az éves költségvetési javaslatot és a végrehajtásáról szóló féléves, éves beszámoló tervezeteit;</w:t>
      </w:r>
    </w:p>
    <w:p w:rsidR="004335F9" w:rsidRPr="00836999" w:rsidRDefault="004335F9" w:rsidP="004335F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4335F9" w:rsidRPr="00836999" w:rsidRDefault="004335F9" w:rsidP="004335F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4335F9" w:rsidRPr="00836999" w:rsidRDefault="004335F9" w:rsidP="004335F9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4335F9" w:rsidRPr="00836999" w:rsidRDefault="004335F9" w:rsidP="004335F9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4335F9" w:rsidRPr="0083699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4335F9" w:rsidRPr="00836999" w:rsidRDefault="004335F9" w:rsidP="004335F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4335F9" w:rsidRPr="00836999" w:rsidRDefault="004335F9" w:rsidP="004335F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4335F9" w:rsidRPr="00836999" w:rsidRDefault="004335F9" w:rsidP="004335F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4335F9" w:rsidRPr="0083699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4335F9" w:rsidRPr="00836999" w:rsidRDefault="004335F9" w:rsidP="004335F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4335F9" w:rsidRPr="00836999" w:rsidRDefault="004335F9" w:rsidP="004335F9">
      <w:pPr>
        <w:pStyle w:val="Listaszerbekezds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4335F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4335F9" w:rsidRPr="00836999" w:rsidRDefault="004335F9" w:rsidP="004335F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4335F9" w:rsidRPr="00836999" w:rsidRDefault="004335F9" w:rsidP="004335F9">
      <w:pPr>
        <w:pStyle w:val="Listaszerbekezds"/>
        <w:ind w:left="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4335F9" w:rsidRPr="00836999" w:rsidRDefault="004335F9" w:rsidP="004335F9">
      <w:pPr>
        <w:pStyle w:val="Listaszerbekezds"/>
        <w:ind w:left="284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4335F9" w:rsidRPr="0083699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4335F9" w:rsidRDefault="004335F9" w:rsidP="004335F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:rsidR="004335F9" w:rsidRPr="006846BB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4335F9" w:rsidRPr="00836999" w:rsidRDefault="004335F9" w:rsidP="004335F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4335F9" w:rsidRPr="00836999" w:rsidRDefault="004335F9" w:rsidP="004335F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4335F9" w:rsidRPr="00836999" w:rsidRDefault="004335F9" w:rsidP="004335F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4335F9" w:rsidRPr="00836999" w:rsidRDefault="004335F9" w:rsidP="004335F9">
      <w:pPr>
        <w:pStyle w:val="Listaszerbekezds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4335F9" w:rsidRPr="00836999" w:rsidRDefault="004335F9" w:rsidP="004335F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Default="004335F9" w:rsidP="004335F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4335F9" w:rsidRPr="00DE1881" w:rsidRDefault="004335F9" w:rsidP="004335F9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4335F9" w:rsidRPr="00836999" w:rsidRDefault="004335F9" w:rsidP="004335F9">
      <w:pPr>
        <w:pStyle w:val="Listaszerbekezds"/>
        <w:ind w:left="284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4335F9" w:rsidRPr="00836999" w:rsidRDefault="004335F9" w:rsidP="004335F9">
      <w:pPr>
        <w:pStyle w:val="Listaszerbekezds"/>
        <w:ind w:left="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4335F9" w:rsidRPr="00836999" w:rsidRDefault="004335F9" w:rsidP="004335F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4335F9" w:rsidRPr="00836999" w:rsidRDefault="004335F9" w:rsidP="004335F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4335F9" w:rsidRPr="00836999" w:rsidRDefault="004335F9" w:rsidP="004335F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4335F9" w:rsidRPr="00836999" w:rsidRDefault="004335F9" w:rsidP="004335F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4335F9" w:rsidRPr="00836999" w:rsidRDefault="004335F9" w:rsidP="004335F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4335F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4335F9" w:rsidRPr="00836999" w:rsidRDefault="004335F9" w:rsidP="004335F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4335F9" w:rsidRPr="00836999" w:rsidRDefault="004335F9" w:rsidP="004335F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4335F9" w:rsidRPr="00836999" w:rsidRDefault="004335F9" w:rsidP="004335F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4335F9" w:rsidRPr="00836999" w:rsidRDefault="004335F9" w:rsidP="004335F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4335F9" w:rsidRPr="0083699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4335F9" w:rsidRPr="00836999" w:rsidRDefault="004335F9" w:rsidP="004335F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4335F9" w:rsidRPr="00836999" w:rsidRDefault="004335F9" w:rsidP="004335F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4335F9" w:rsidRPr="00836999" w:rsidRDefault="004335F9" w:rsidP="004335F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4335F9" w:rsidRPr="00836999" w:rsidRDefault="004335F9" w:rsidP="004335F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4335F9" w:rsidRPr="00836999" w:rsidRDefault="004335F9" w:rsidP="004335F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4335F9" w:rsidRPr="00836999" w:rsidRDefault="004335F9" w:rsidP="004335F9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4335F9" w:rsidRDefault="004335F9" w:rsidP="004335F9">
      <w:pPr>
        <w:ind w:left="360"/>
        <w:jc w:val="both"/>
        <w:rPr>
          <w:b/>
          <w:szCs w:val="24"/>
        </w:rPr>
      </w:pPr>
    </w:p>
    <w:p w:rsidR="004335F9" w:rsidRDefault="004335F9" w:rsidP="004335F9">
      <w:pPr>
        <w:ind w:left="360"/>
        <w:jc w:val="both"/>
        <w:rPr>
          <w:b/>
          <w:szCs w:val="24"/>
        </w:rPr>
      </w:pPr>
    </w:p>
    <w:p w:rsidR="004335F9" w:rsidRPr="00836999" w:rsidRDefault="004335F9" w:rsidP="004335F9">
      <w:pPr>
        <w:ind w:left="36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:rsidR="004335F9" w:rsidRPr="00836999" w:rsidRDefault="004335F9" w:rsidP="004335F9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4335F9" w:rsidRPr="00836999" w:rsidRDefault="004335F9" w:rsidP="004335F9">
      <w:pPr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4335F9" w:rsidRPr="00836999" w:rsidRDefault="004335F9" w:rsidP="004335F9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4335F9" w:rsidRPr="00836999" w:rsidRDefault="004335F9" w:rsidP="004335F9">
      <w:pPr>
        <w:pStyle w:val="Listaszerbekezds"/>
        <w:ind w:left="108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4335F9" w:rsidRPr="00836999" w:rsidRDefault="004335F9" w:rsidP="004335F9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4335F9" w:rsidRPr="00836999" w:rsidRDefault="004335F9" w:rsidP="004335F9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4335F9" w:rsidRPr="00836999" w:rsidRDefault="004335F9" w:rsidP="004335F9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4335F9" w:rsidRPr="00836999" w:rsidRDefault="004335F9" w:rsidP="004335F9">
      <w:pPr>
        <w:contextualSpacing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4335F9" w:rsidRPr="00836999" w:rsidRDefault="004335F9" w:rsidP="004335F9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4335F9" w:rsidRPr="00836999" w:rsidRDefault="004335F9" w:rsidP="004335F9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4335F9" w:rsidRPr="00836999" w:rsidRDefault="004335F9" w:rsidP="004335F9">
      <w:pPr>
        <w:contextualSpacing/>
        <w:jc w:val="both"/>
        <w:rPr>
          <w:szCs w:val="24"/>
        </w:rPr>
      </w:pPr>
    </w:p>
    <w:p w:rsidR="004335F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4335F9" w:rsidRPr="00EB4536" w:rsidRDefault="004335F9" w:rsidP="004335F9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4335F9" w:rsidRPr="00836999" w:rsidRDefault="004335F9" w:rsidP="004335F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4335F9" w:rsidRPr="00836999" w:rsidRDefault="004335F9" w:rsidP="004335F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4335F9" w:rsidRPr="00836999" w:rsidRDefault="004335F9" w:rsidP="004335F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4335F9" w:rsidRPr="00836999" w:rsidRDefault="004335F9" w:rsidP="004335F9">
      <w:pPr>
        <w:pStyle w:val="Listaszerbekezds"/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4335F9" w:rsidRPr="00836999" w:rsidRDefault="004335F9" w:rsidP="004335F9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4335F9" w:rsidRPr="00836999" w:rsidRDefault="004335F9" w:rsidP="004335F9">
      <w:pPr>
        <w:ind w:left="36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4335F9" w:rsidRPr="00836999" w:rsidRDefault="004335F9" w:rsidP="004335F9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4335F9" w:rsidRPr="00836999" w:rsidRDefault="004335F9" w:rsidP="004335F9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4335F9" w:rsidRPr="00836999" w:rsidRDefault="004335F9" w:rsidP="004335F9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4335F9" w:rsidRPr="00836999" w:rsidRDefault="004335F9" w:rsidP="004335F9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4335F9" w:rsidRPr="00836999" w:rsidRDefault="004335F9" w:rsidP="004335F9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4335F9" w:rsidRPr="00836999" w:rsidRDefault="004335F9" w:rsidP="004335F9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4335F9" w:rsidRPr="00836999" w:rsidRDefault="004335F9" w:rsidP="004335F9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4335F9" w:rsidRPr="00836999" w:rsidRDefault="004335F9" w:rsidP="004335F9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4335F9" w:rsidRPr="00836999" w:rsidRDefault="004335F9" w:rsidP="004335F9">
      <w:pPr>
        <w:pStyle w:val="Listaszerbekezds"/>
        <w:ind w:left="108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4335F9" w:rsidRPr="00836999" w:rsidRDefault="004335F9" w:rsidP="004335F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4335F9" w:rsidRPr="00836999" w:rsidRDefault="004335F9" w:rsidP="004335F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4335F9" w:rsidRPr="00836999" w:rsidRDefault="004335F9" w:rsidP="004335F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4335F9" w:rsidRPr="00836999" w:rsidRDefault="004335F9" w:rsidP="004335F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4335F9" w:rsidRDefault="004335F9" w:rsidP="004335F9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4335F9" w:rsidRPr="00CA0F27" w:rsidRDefault="004335F9" w:rsidP="004335F9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4335F9" w:rsidRPr="00836999" w:rsidRDefault="004335F9" w:rsidP="004335F9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4335F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</w:p>
    <w:p w:rsidR="004335F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4335F9" w:rsidRPr="00836999" w:rsidRDefault="004335F9" w:rsidP="004335F9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4335F9" w:rsidRPr="00836999" w:rsidRDefault="004335F9" w:rsidP="004335F9">
      <w:pPr>
        <w:pStyle w:val="Listaszerbekezds"/>
        <w:ind w:left="284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4335F9" w:rsidRDefault="004335F9" w:rsidP="004335F9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4335F9" w:rsidRDefault="004335F9" w:rsidP="004335F9">
      <w:pPr>
        <w:numPr>
          <w:ilvl w:val="0"/>
          <w:numId w:val="36"/>
        </w:numPr>
        <w:ind w:left="709"/>
        <w:jc w:val="both"/>
        <w:rPr>
          <w:szCs w:val="24"/>
        </w:rPr>
      </w:pP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4335F9" w:rsidRPr="00836999" w:rsidRDefault="004335F9" w:rsidP="004335F9">
      <w:pPr>
        <w:spacing w:line="276" w:lineRule="auto"/>
        <w:ind w:left="709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ind w:left="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4335F9" w:rsidRPr="00836999" w:rsidRDefault="004335F9" w:rsidP="004335F9">
      <w:pPr>
        <w:jc w:val="both"/>
        <w:rPr>
          <w:szCs w:val="24"/>
        </w:rPr>
      </w:pPr>
    </w:p>
    <w:p w:rsidR="004335F9" w:rsidRPr="00836999" w:rsidRDefault="004335F9" w:rsidP="004335F9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4335F9" w:rsidRPr="00836999" w:rsidRDefault="004335F9" w:rsidP="004335F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4335F9" w:rsidRPr="00836999" w:rsidRDefault="004335F9" w:rsidP="004335F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4335F9" w:rsidRPr="00836999" w:rsidRDefault="004335F9" w:rsidP="004335F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4335F9" w:rsidRPr="00836999" w:rsidRDefault="004335F9" w:rsidP="004335F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4335F9" w:rsidRPr="00836999" w:rsidRDefault="004335F9" w:rsidP="004335F9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4335F9" w:rsidRPr="00836999" w:rsidRDefault="004335F9" w:rsidP="004335F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4335F9" w:rsidRPr="00836999" w:rsidRDefault="004335F9" w:rsidP="004335F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4335F9" w:rsidRPr="00836999" w:rsidRDefault="004335F9" w:rsidP="004335F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4335F9" w:rsidRPr="00836999" w:rsidRDefault="004335F9" w:rsidP="004335F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4335F9" w:rsidRPr="00836999" w:rsidRDefault="004335F9" w:rsidP="004335F9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4335F9" w:rsidRDefault="004335F9" w:rsidP="004335F9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</w:t>
      </w:r>
      <w:r>
        <w:rPr>
          <w:szCs w:val="24"/>
        </w:rPr>
        <w:t>eletben meghatározottak szerint;</w:t>
      </w:r>
    </w:p>
    <w:p w:rsidR="004335F9" w:rsidRPr="00762976" w:rsidRDefault="004335F9" w:rsidP="004335F9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762976">
        <w:rPr>
          <w:szCs w:val="24"/>
        </w:rPr>
        <w:t>dönt a Szigetvári Vár nyitva tartási rendjéről, valamint a különböző ajánlatcsomagok bevezetéséről, módosításáról.</w:t>
      </w:r>
    </w:p>
    <w:p w:rsidR="004335F9" w:rsidRPr="00836999" w:rsidRDefault="004335F9" w:rsidP="004335F9">
      <w:pPr>
        <w:pStyle w:val="Listaszerbekezds"/>
        <w:ind w:left="0"/>
        <w:jc w:val="both"/>
        <w:rPr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4335F9" w:rsidRPr="00836999" w:rsidRDefault="004335F9" w:rsidP="004335F9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4335F9" w:rsidRDefault="004335F9" w:rsidP="004335F9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5227F4" w:rsidRDefault="005227F4" w:rsidP="005227F4">
      <w:pPr>
        <w:pStyle w:val="Listaszerbekezds"/>
        <w:spacing w:line="276" w:lineRule="auto"/>
        <w:ind w:left="720"/>
        <w:contextualSpacing/>
        <w:jc w:val="both"/>
        <w:rPr>
          <w:szCs w:val="24"/>
        </w:rPr>
      </w:pPr>
    </w:p>
    <w:p w:rsidR="005227F4" w:rsidRDefault="005227F4" w:rsidP="005227F4">
      <w:p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2.</w:t>
      </w:r>
    </w:p>
    <w:p w:rsidR="005227F4" w:rsidRDefault="005227F4" w:rsidP="005227F4">
      <w:p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3.</w:t>
      </w:r>
    </w:p>
    <w:p w:rsidR="004335F9" w:rsidRPr="005227F4" w:rsidRDefault="005227F4" w:rsidP="005227F4">
      <w:p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4.</w:t>
      </w:r>
    </w:p>
    <w:p w:rsidR="004335F9" w:rsidRDefault="004335F9" w:rsidP="005227F4">
      <w:pPr>
        <w:pStyle w:val="Listaszerbekezds"/>
        <w:numPr>
          <w:ilvl w:val="0"/>
          <w:numId w:val="41"/>
        </w:numPr>
        <w:jc w:val="both"/>
      </w:pPr>
      <w:bookmarkStart w:id="1" w:name="_GoBack"/>
      <w:bookmarkEnd w:id="1"/>
      <w:r>
        <w:t>Szigetvár Város Önkormányzata Képviselő-testületének a lakások és helyiségek bérletéről illetve elidegenítéséről szóló 20/2011. (IV.22.) számú önkormányzati rendelete alapján:</w:t>
      </w:r>
    </w:p>
    <w:p w:rsidR="004335F9" w:rsidRDefault="004335F9" w:rsidP="004335F9">
      <w:pPr>
        <w:pStyle w:val="Listaszerbekezds"/>
        <w:ind w:left="0"/>
        <w:jc w:val="both"/>
      </w:pP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szociális helyzet alapján a bérlakások bérlőinek kijelölése pályázati eljárás során,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szociális bérlakáshoz való juttatás esetén az elhelyezést a határozott idő lejárta előtt beérkezett kérelemre, újabb két évre meghosszabbíthatja,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költségelven megállapított lakbérű lakások bérlőinek kijelölése pályázati eljárás során,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hozzájárul a költségelven megállapított házastársi bérlőtársi szerződés megkötéséhez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szolgálati lakáshoz juttatásról döntés,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szolgálati lakáshoz juttatás esetén az elhelyezést a határozott idő lejárta előtt beérkezett kérelemre, újabb, határozott időre meghosszabbíthatja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szolgálati jogviszony megszűnése után, különös méltánylást érdemlő esetben legfeljebb egy évig továbbengedélyezheti a lakáshasználatot;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vis maior esetén kijelöli a bérlő személyét,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 xml:space="preserve">hozzájárul a rendeletben meghatározott feltételek mellett az </w:t>
      </w:r>
      <w:proofErr w:type="spellStart"/>
      <w:r>
        <w:t>Ltv</w:t>
      </w:r>
      <w:proofErr w:type="spellEnd"/>
      <w:r>
        <w:t>. 22. § (1) bekezdés szerinti tartási szerződés megkötéséhez,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különös méltánylást érdemlő esetben, a rendeletben meghatározott feltételek teljesülése esetén engedélyezheti a házastárs, élettárs vagy gyermek részére a bérleti jogviszony folytatását,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 xml:space="preserve">amennyiben a késedelem a nem lakáscélú helyiségek hasznosítását veszélyeztetné, dönt </w:t>
      </w:r>
      <w:proofErr w:type="gramStart"/>
      <w:r>
        <w:t>ezen</w:t>
      </w:r>
      <w:proofErr w:type="gramEnd"/>
      <w:r>
        <w:t xml:space="preserve"> helyiségek hasznosításáról, mely döntésről a képviselő-testületet következő ülésén tájékoztatja, 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hozzájárul részletre vétel esetén az ingatlan vevő általi megterheléséhez</w:t>
      </w:r>
    </w:p>
    <w:p w:rsidR="004335F9" w:rsidRDefault="004335F9" w:rsidP="004335F9">
      <w:pPr>
        <w:pStyle w:val="Listaszerbekezds"/>
        <w:numPr>
          <w:ilvl w:val="1"/>
          <w:numId w:val="40"/>
        </w:numPr>
        <w:spacing w:line="276" w:lineRule="auto"/>
        <w:contextualSpacing/>
        <w:jc w:val="both"/>
      </w:pPr>
      <w:r>
        <w:t>cserelakás biztosítására illetve az ehhez kapcsolódó bérbeadói hozzájárulás megadására jogosult,</w:t>
      </w:r>
    </w:p>
    <w:p w:rsidR="004335F9" w:rsidRDefault="004335F9" w:rsidP="004335F9">
      <w:pPr>
        <w:numPr>
          <w:ilvl w:val="1"/>
          <w:numId w:val="40"/>
        </w:numPr>
        <w:spacing w:line="276" w:lineRule="auto"/>
        <w:jc w:val="both"/>
      </w:pPr>
      <w:r>
        <w:t>dönt érvényes lakásbérleti szerződés módosításáról.</w:t>
      </w:r>
    </w:p>
    <w:p w:rsidR="004335F9" w:rsidRDefault="004335F9" w:rsidP="004335F9">
      <w:pPr>
        <w:ind w:left="1440"/>
        <w:jc w:val="both"/>
      </w:pPr>
    </w:p>
    <w:p w:rsidR="004335F9" w:rsidRDefault="004335F9" w:rsidP="005227F4">
      <w:pPr>
        <w:pStyle w:val="Listaszerbekezds"/>
        <w:numPr>
          <w:ilvl w:val="0"/>
          <w:numId w:val="41"/>
        </w:numPr>
        <w:jc w:val="both"/>
        <w:rPr>
          <w:szCs w:val="24"/>
        </w:rPr>
      </w:pPr>
    </w:p>
    <w:p w:rsidR="008E67F4" w:rsidRDefault="001439C5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9C5" w:rsidRDefault="001439C5" w:rsidP="004335F9">
      <w:r>
        <w:separator/>
      </w:r>
    </w:p>
  </w:endnote>
  <w:endnote w:type="continuationSeparator" w:id="0">
    <w:p w:rsidR="001439C5" w:rsidRDefault="001439C5" w:rsidP="00433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9C5" w:rsidRDefault="001439C5" w:rsidP="004335F9">
      <w:r>
        <w:separator/>
      </w:r>
    </w:p>
  </w:footnote>
  <w:footnote w:type="continuationSeparator" w:id="0">
    <w:p w:rsidR="001439C5" w:rsidRDefault="001439C5" w:rsidP="00433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CE21417"/>
    <w:multiLevelType w:val="hybridMultilevel"/>
    <w:tmpl w:val="EFE0E6E8"/>
    <w:lvl w:ilvl="0" w:tplc="88CEE7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8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5"/>
  </w:num>
  <w:num w:numId="3">
    <w:abstractNumId w:val="22"/>
  </w:num>
  <w:num w:numId="4">
    <w:abstractNumId w:val="17"/>
  </w:num>
  <w:num w:numId="5">
    <w:abstractNumId w:val="5"/>
  </w:num>
  <w:num w:numId="6">
    <w:abstractNumId w:val="11"/>
  </w:num>
  <w:num w:numId="7">
    <w:abstractNumId w:val="40"/>
  </w:num>
  <w:num w:numId="8">
    <w:abstractNumId w:val="21"/>
  </w:num>
  <w:num w:numId="9">
    <w:abstractNumId w:val="26"/>
  </w:num>
  <w:num w:numId="10">
    <w:abstractNumId w:val="7"/>
  </w:num>
  <w:num w:numId="11">
    <w:abstractNumId w:val="32"/>
  </w:num>
  <w:num w:numId="12">
    <w:abstractNumId w:val="34"/>
  </w:num>
  <w:num w:numId="13">
    <w:abstractNumId w:val="29"/>
  </w:num>
  <w:num w:numId="14">
    <w:abstractNumId w:val="13"/>
  </w:num>
  <w:num w:numId="15">
    <w:abstractNumId w:val="35"/>
  </w:num>
  <w:num w:numId="16">
    <w:abstractNumId w:val="12"/>
  </w:num>
  <w:num w:numId="17">
    <w:abstractNumId w:val="18"/>
  </w:num>
  <w:num w:numId="18">
    <w:abstractNumId w:val="33"/>
  </w:num>
  <w:num w:numId="19">
    <w:abstractNumId w:val="9"/>
  </w:num>
  <w:num w:numId="20">
    <w:abstractNumId w:val="4"/>
  </w:num>
  <w:num w:numId="21">
    <w:abstractNumId w:val="19"/>
  </w:num>
  <w:num w:numId="22">
    <w:abstractNumId w:val="24"/>
  </w:num>
  <w:num w:numId="23">
    <w:abstractNumId w:val="37"/>
  </w:num>
  <w:num w:numId="24">
    <w:abstractNumId w:val="1"/>
  </w:num>
  <w:num w:numId="25">
    <w:abstractNumId w:val="10"/>
  </w:num>
  <w:num w:numId="26">
    <w:abstractNumId w:val="25"/>
  </w:num>
  <w:num w:numId="27">
    <w:abstractNumId w:val="31"/>
  </w:num>
  <w:num w:numId="28">
    <w:abstractNumId w:val="3"/>
  </w:num>
  <w:num w:numId="29">
    <w:abstractNumId w:val="20"/>
  </w:num>
  <w:num w:numId="30">
    <w:abstractNumId w:val="38"/>
  </w:num>
  <w:num w:numId="31">
    <w:abstractNumId w:val="16"/>
  </w:num>
  <w:num w:numId="32">
    <w:abstractNumId w:val="23"/>
  </w:num>
  <w:num w:numId="33">
    <w:abstractNumId w:val="2"/>
  </w:num>
  <w:num w:numId="34">
    <w:abstractNumId w:val="8"/>
  </w:num>
  <w:num w:numId="35">
    <w:abstractNumId w:val="28"/>
  </w:num>
  <w:num w:numId="36">
    <w:abstractNumId w:val="30"/>
  </w:num>
  <w:num w:numId="37">
    <w:abstractNumId w:val="0"/>
  </w:num>
  <w:num w:numId="38">
    <w:abstractNumId w:val="27"/>
  </w:num>
  <w:num w:numId="39">
    <w:abstractNumId w:val="6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5F9"/>
    <w:rsid w:val="001439C5"/>
    <w:rsid w:val="0024330A"/>
    <w:rsid w:val="002650E0"/>
    <w:rsid w:val="003D7915"/>
    <w:rsid w:val="004335F9"/>
    <w:rsid w:val="005227F4"/>
    <w:rsid w:val="006220D0"/>
    <w:rsid w:val="006D70F2"/>
    <w:rsid w:val="00BB1154"/>
    <w:rsid w:val="00C518EE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35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4335F9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4335F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335F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4335F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335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335F9"/>
    <w:pPr>
      <w:ind w:left="708"/>
    </w:pPr>
  </w:style>
  <w:style w:type="paragraph" w:customStyle="1" w:styleId="Tblzattartalom">
    <w:name w:val="Táblázattartalom"/>
    <w:basedOn w:val="Szvegtrzs"/>
    <w:rsid w:val="004335F9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4335F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335F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2976</Words>
  <Characters>20542</Characters>
  <Application>Microsoft Office Word</Application>
  <DocSecurity>0</DocSecurity>
  <Lines>171</Lines>
  <Paragraphs>46</Paragraphs>
  <ScaleCrop>false</ScaleCrop>
  <Company/>
  <LinksUpToDate>false</LinksUpToDate>
  <CharactersWithSpaces>23472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dcterms:created xsi:type="dcterms:W3CDTF">2019-02-04T13:11:00Z</dcterms:created>
  <dcterms:modified xsi:type="dcterms:W3CDTF">2019-02-04T13:18:00Z</dcterms:modified>
</cp:coreProperties>
</file>