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A5AD" w14:textId="7439C901" w:rsidR="003419CF" w:rsidRPr="00FF7657" w:rsidRDefault="00B977F0" w:rsidP="003419CF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  <w:bookmarkStart w:id="0" w:name="_Hlk64538004"/>
      <w:r>
        <w:rPr>
          <w:b/>
          <w:color w:val="000000"/>
          <w:sz w:val="24"/>
          <w:szCs w:val="24"/>
        </w:rPr>
        <w:t>8</w:t>
      </w:r>
      <w:r w:rsidR="003419CF" w:rsidRPr="00FF7657">
        <w:rPr>
          <w:b/>
          <w:color w:val="000000"/>
          <w:sz w:val="24"/>
          <w:szCs w:val="24"/>
        </w:rPr>
        <w:t>/2021. (II</w:t>
      </w:r>
      <w:r>
        <w:rPr>
          <w:b/>
          <w:color w:val="000000"/>
          <w:sz w:val="24"/>
          <w:szCs w:val="24"/>
        </w:rPr>
        <w:t>I</w:t>
      </w:r>
      <w:r w:rsidR="003419CF" w:rsidRPr="00FF7657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25</w:t>
      </w:r>
      <w:r w:rsidR="003419CF" w:rsidRPr="00FF7657">
        <w:rPr>
          <w:b/>
          <w:color w:val="000000"/>
          <w:sz w:val="24"/>
          <w:szCs w:val="24"/>
        </w:rPr>
        <w:t>.) önkormányzati rendelet indokolása</w:t>
      </w:r>
    </w:p>
    <w:p w14:paraId="6ACE8196" w14:textId="77777777" w:rsidR="003419CF" w:rsidRPr="00FF7657" w:rsidRDefault="003419CF" w:rsidP="003419CF">
      <w:pPr>
        <w:widowControl/>
        <w:overflowPunct/>
        <w:autoSpaceDE/>
        <w:autoSpaceDN/>
        <w:adjustRightInd/>
        <w:textAlignment w:val="baseline"/>
        <w:rPr>
          <w:b/>
          <w:color w:val="0D0D0D"/>
          <w:sz w:val="24"/>
        </w:rPr>
      </w:pPr>
    </w:p>
    <w:p w14:paraId="1121BFAB" w14:textId="77777777" w:rsidR="00B977F0" w:rsidRDefault="00B977F0" w:rsidP="00B977F0">
      <w:pPr>
        <w:widowControl/>
        <w:jc w:val="center"/>
        <w:textAlignment w:val="baseline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a 2019. évi költségvetés végrehajtásáról szóló 10/2020. (VII.14.) </w:t>
      </w:r>
      <w:r w:rsidRPr="00A6467A">
        <w:rPr>
          <w:b/>
          <w:color w:val="0D0D0D"/>
          <w:sz w:val="24"/>
        </w:rPr>
        <w:t>rendelet módosításáról</w:t>
      </w:r>
    </w:p>
    <w:p w14:paraId="49791101" w14:textId="56C2B40C" w:rsidR="003419CF" w:rsidRDefault="003419CF" w:rsidP="003419CF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</w:p>
    <w:p w14:paraId="068221A8" w14:textId="77777777" w:rsidR="00B977F0" w:rsidRPr="00FF7657" w:rsidRDefault="00B977F0" w:rsidP="003419CF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</w:p>
    <w:p w14:paraId="448E1FA4" w14:textId="77777777" w:rsidR="003419CF" w:rsidRPr="00FF7657" w:rsidRDefault="003419CF" w:rsidP="003419CF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Általános indokolás:</w:t>
      </w:r>
    </w:p>
    <w:p w14:paraId="1B60ACF9" w14:textId="77777777" w:rsidR="003419CF" w:rsidRPr="00FF7657" w:rsidRDefault="003419CF" w:rsidP="003419CF">
      <w:pPr>
        <w:widowControl/>
        <w:tabs>
          <w:tab w:val="left" w:pos="4962"/>
          <w:tab w:val="right" w:pos="8280"/>
        </w:tabs>
        <w:spacing w:line="200" w:lineRule="atLeast"/>
        <w:jc w:val="center"/>
        <w:textAlignment w:val="baseline"/>
        <w:rPr>
          <w:b/>
          <w:color w:val="000000"/>
          <w:sz w:val="24"/>
          <w:szCs w:val="24"/>
        </w:rPr>
      </w:pPr>
    </w:p>
    <w:p w14:paraId="66D8907D" w14:textId="16218F8F" w:rsidR="003419CF" w:rsidRPr="00FF7657" w:rsidRDefault="003419CF" w:rsidP="003419CF">
      <w:pPr>
        <w:widowControl/>
        <w:overflowPunct/>
        <w:autoSpaceDE/>
        <w:autoSpaceDN/>
        <w:adjustRightInd/>
        <w:jc w:val="both"/>
        <w:rPr>
          <w:sz w:val="24"/>
          <w:szCs w:val="24"/>
        </w:rPr>
      </w:pPr>
      <w:r w:rsidRPr="00FF7657">
        <w:rPr>
          <w:sz w:val="24"/>
          <w:szCs w:val="24"/>
        </w:rPr>
        <w:t>Balatongyörök Község Önkormányzat Képviselő-testület</w:t>
      </w:r>
      <w:r w:rsidR="001D5603">
        <w:rPr>
          <w:sz w:val="24"/>
          <w:szCs w:val="24"/>
        </w:rPr>
        <w:t>ének</w:t>
      </w:r>
      <w:r w:rsidRPr="00FF7657">
        <w:rPr>
          <w:sz w:val="24"/>
          <w:szCs w:val="24"/>
        </w:rPr>
        <w:t xml:space="preserve"> </w:t>
      </w:r>
      <w:r w:rsidR="001D5603">
        <w:rPr>
          <w:sz w:val="24"/>
          <w:szCs w:val="24"/>
        </w:rPr>
        <w:t>2019. évi költségvetésének végrehajtásáról szóló 10/2020 (VI</w:t>
      </w:r>
      <w:r w:rsidR="00C8277B">
        <w:rPr>
          <w:sz w:val="24"/>
          <w:szCs w:val="24"/>
        </w:rPr>
        <w:t>I.14.) rendelete nem tartalmazta az önkormányzat vagyonáról szóló 20/2014. (XII.19.) önkormányzati rendeletben előírt vagyonleltárt, mely jogsértés miatt a Zala Megyei Kormányhivatal törvényességi felhívással élt a Vonyarcvashegyi Közös Önkormányzati Hivatal jegyzője felé. Az önkormányzat vagyonrendeletének 17. § (1) bekezdése kimondja, hogy az Önkormányzat vagyonát – a zárszámadáshoz kapcsolódóan – éves vagyonleltárban kell kimutatni. E jogszabályi kötelezettségnek eleget téve a zárszámadási rendeletet módosító rendelettel 9. mellékletként csatolásra került az elkészített vagyonleltár.</w:t>
      </w:r>
    </w:p>
    <w:p w14:paraId="1D2C08EB" w14:textId="77777777" w:rsidR="003419CF" w:rsidRPr="00FF7657" w:rsidRDefault="003419CF" w:rsidP="003419CF">
      <w:pPr>
        <w:widowControl/>
        <w:jc w:val="both"/>
        <w:textAlignment w:val="baseline"/>
        <w:rPr>
          <w:sz w:val="24"/>
          <w:szCs w:val="24"/>
        </w:rPr>
      </w:pPr>
    </w:p>
    <w:p w14:paraId="3D5EDC5D" w14:textId="77777777" w:rsidR="003419CF" w:rsidRPr="00FF7657" w:rsidRDefault="003419CF" w:rsidP="003419CF">
      <w:pPr>
        <w:widowControl/>
        <w:tabs>
          <w:tab w:val="left" w:pos="4962"/>
          <w:tab w:val="right" w:pos="8280"/>
        </w:tabs>
        <w:spacing w:line="200" w:lineRule="atLeast"/>
        <w:jc w:val="both"/>
        <w:textAlignment w:val="baseline"/>
        <w:rPr>
          <w:b/>
          <w:color w:val="000000"/>
          <w:sz w:val="24"/>
          <w:szCs w:val="24"/>
        </w:rPr>
      </w:pPr>
      <w:r w:rsidRPr="00FF7657">
        <w:rPr>
          <w:b/>
          <w:color w:val="000000"/>
          <w:sz w:val="24"/>
          <w:szCs w:val="24"/>
        </w:rPr>
        <w:t>Részletes indokolás:</w:t>
      </w:r>
    </w:p>
    <w:p w14:paraId="7B38B014" w14:textId="77777777" w:rsidR="003419CF" w:rsidRPr="00FF7657" w:rsidRDefault="003419CF" w:rsidP="003419CF">
      <w:pPr>
        <w:widowControl/>
        <w:tabs>
          <w:tab w:val="left" w:pos="4962"/>
          <w:tab w:val="right" w:pos="8280"/>
        </w:tabs>
        <w:spacing w:line="200" w:lineRule="atLeast"/>
        <w:textAlignment w:val="baseline"/>
        <w:rPr>
          <w:b/>
          <w:color w:val="000000"/>
          <w:sz w:val="24"/>
          <w:szCs w:val="24"/>
        </w:rPr>
      </w:pPr>
    </w:p>
    <w:p w14:paraId="48C7D65E" w14:textId="77777777" w:rsidR="003419CF" w:rsidRPr="00FF7657" w:rsidRDefault="003419CF" w:rsidP="003419CF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1. §-hoz:</w:t>
      </w:r>
    </w:p>
    <w:p w14:paraId="3577AB97" w14:textId="31A9FDF9" w:rsidR="003419CF" w:rsidRPr="00FF7657" w:rsidRDefault="003419CF" w:rsidP="003419CF">
      <w:pPr>
        <w:widowControl/>
        <w:jc w:val="both"/>
        <w:textAlignment w:val="baseline"/>
        <w:rPr>
          <w:sz w:val="24"/>
          <w:szCs w:val="24"/>
        </w:rPr>
      </w:pPr>
      <w:r w:rsidRPr="00FF7657">
        <w:rPr>
          <w:sz w:val="24"/>
          <w:szCs w:val="24"/>
        </w:rPr>
        <w:t xml:space="preserve">Az </w:t>
      </w:r>
      <w:r w:rsidR="00C8277B">
        <w:rPr>
          <w:sz w:val="24"/>
          <w:szCs w:val="24"/>
        </w:rPr>
        <w:t>Rendelet a 9. melléklettel egészül ki, mely az Önkormányzat 2019. évi vagyonleltára.</w:t>
      </w:r>
    </w:p>
    <w:p w14:paraId="4AFE98B8" w14:textId="77777777" w:rsidR="003419CF" w:rsidRPr="00FF7657" w:rsidRDefault="003419CF" w:rsidP="003419CF">
      <w:pPr>
        <w:widowControl/>
        <w:jc w:val="both"/>
        <w:textAlignment w:val="baseline"/>
        <w:rPr>
          <w:bCs/>
          <w:sz w:val="24"/>
          <w:szCs w:val="24"/>
        </w:rPr>
      </w:pPr>
      <w:r w:rsidRPr="00FF7657">
        <w:rPr>
          <w:sz w:val="24"/>
          <w:szCs w:val="24"/>
        </w:rPr>
        <w:t xml:space="preserve"> </w:t>
      </w:r>
    </w:p>
    <w:p w14:paraId="2435B505" w14:textId="77777777" w:rsidR="003419CF" w:rsidRPr="00FF7657" w:rsidRDefault="003419CF" w:rsidP="003419CF">
      <w:pPr>
        <w:widowControl/>
        <w:jc w:val="both"/>
        <w:textAlignment w:val="baseline"/>
        <w:rPr>
          <w:b/>
          <w:sz w:val="24"/>
          <w:szCs w:val="24"/>
        </w:rPr>
      </w:pPr>
      <w:r w:rsidRPr="00FF7657">
        <w:rPr>
          <w:b/>
          <w:sz w:val="24"/>
          <w:szCs w:val="24"/>
        </w:rPr>
        <w:t>2. §-hoz:</w:t>
      </w:r>
    </w:p>
    <w:p w14:paraId="3B6E430E" w14:textId="3BA8BD60" w:rsidR="003419CF" w:rsidRPr="00FF7657" w:rsidRDefault="00C8277B" w:rsidP="003419CF">
      <w:pPr>
        <w:widowControl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</w:t>
      </w:r>
      <w:r w:rsidR="003419CF" w:rsidRPr="00FF7657">
        <w:rPr>
          <w:sz w:val="24"/>
          <w:szCs w:val="24"/>
        </w:rPr>
        <w:t xml:space="preserve"> rendelet hatályba lépését határozza meg.</w:t>
      </w:r>
    </w:p>
    <w:p w14:paraId="100F3972" w14:textId="77777777" w:rsidR="003419CF" w:rsidRPr="00FF7657" w:rsidRDefault="003419CF" w:rsidP="003419CF">
      <w:pPr>
        <w:widowControl/>
        <w:jc w:val="center"/>
        <w:textAlignment w:val="baseline"/>
        <w:rPr>
          <w:b/>
          <w:bCs/>
          <w:sz w:val="24"/>
          <w:szCs w:val="24"/>
        </w:rPr>
      </w:pPr>
    </w:p>
    <w:p w14:paraId="331B7739" w14:textId="77777777" w:rsidR="003419CF" w:rsidRPr="00FF7657" w:rsidRDefault="003419CF" w:rsidP="003419CF">
      <w:pPr>
        <w:widowControl/>
        <w:overflowPunct/>
        <w:autoSpaceDE/>
        <w:autoSpaceDN/>
        <w:adjustRightInd/>
        <w:rPr>
          <w:sz w:val="24"/>
          <w:szCs w:val="24"/>
        </w:rPr>
      </w:pPr>
    </w:p>
    <w:p w14:paraId="3FB99103" w14:textId="77777777" w:rsidR="003419CF" w:rsidRDefault="003419CF" w:rsidP="003419CF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4CFCE89F" w14:textId="77777777" w:rsidR="003419CF" w:rsidRPr="00BF40AA" w:rsidRDefault="003419CF" w:rsidP="003419CF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1D74EF02" w14:textId="77777777" w:rsidR="003419CF" w:rsidRPr="00E74346" w:rsidRDefault="003419CF" w:rsidP="003419CF">
      <w:pPr>
        <w:widowControl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Előzetes hatásvizsgálat</w:t>
      </w:r>
    </w:p>
    <w:p w14:paraId="2A01F200" w14:textId="77777777" w:rsidR="003419CF" w:rsidRPr="00E74346" w:rsidRDefault="003419CF" w:rsidP="003419CF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E74346">
        <w:rPr>
          <w:sz w:val="24"/>
          <w:szCs w:val="24"/>
        </w:rPr>
        <w:t>a jogalkotásról szóló 2010. évi CXXX. törvény 17. § (1) bekezdése alapján</w:t>
      </w:r>
    </w:p>
    <w:p w14:paraId="27ADAE69" w14:textId="77777777" w:rsidR="003419CF" w:rsidRPr="00E74346" w:rsidRDefault="003419CF" w:rsidP="003419CF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14:paraId="4D08C5C4" w14:textId="77777777" w:rsidR="003419CF" w:rsidRPr="00E74346" w:rsidRDefault="003419CF" w:rsidP="003419CF">
      <w:pPr>
        <w:widowControl/>
        <w:overflowPunct/>
        <w:autoSpaceDE/>
        <w:autoSpaceDN/>
        <w:adjustRightInd/>
        <w:ind w:left="2832" w:hanging="2832"/>
        <w:rPr>
          <w:sz w:val="24"/>
          <w:szCs w:val="24"/>
        </w:rPr>
      </w:pPr>
      <w:r w:rsidRPr="00E74346">
        <w:rPr>
          <w:b/>
          <w:sz w:val="24"/>
          <w:szCs w:val="24"/>
        </w:rPr>
        <w:t>A rendelet megalkotója:</w:t>
      </w:r>
      <w:r w:rsidRPr="00E74346">
        <w:rPr>
          <w:sz w:val="24"/>
          <w:szCs w:val="24"/>
        </w:rPr>
        <w:tab/>
        <w:t>Balatongyörök Község Önkormányzatának Képviselő-testülete</w:t>
      </w:r>
    </w:p>
    <w:p w14:paraId="6497BEF3" w14:textId="77777777" w:rsidR="003419CF" w:rsidRPr="00E74346" w:rsidRDefault="003419CF" w:rsidP="003419CF">
      <w:pPr>
        <w:widowControl/>
        <w:overflowPunct/>
        <w:autoSpaceDE/>
        <w:autoSpaceDN/>
        <w:adjustRightInd/>
        <w:ind w:left="2832" w:hanging="2832"/>
        <w:rPr>
          <w:b/>
          <w:sz w:val="24"/>
          <w:szCs w:val="24"/>
        </w:rPr>
      </w:pPr>
    </w:p>
    <w:p w14:paraId="2C856CCF" w14:textId="0B2D80D8" w:rsidR="003419CF" w:rsidRPr="00E74346" w:rsidRDefault="003419CF" w:rsidP="003419CF">
      <w:pPr>
        <w:widowControl/>
        <w:overflowPunct/>
        <w:autoSpaceDE/>
        <w:autoSpaceDN/>
        <w:adjustRightInd/>
        <w:ind w:left="2832" w:hanging="2832"/>
        <w:jc w:val="both"/>
        <w:rPr>
          <w:bCs/>
          <w:sz w:val="24"/>
          <w:szCs w:val="24"/>
        </w:rPr>
      </w:pPr>
      <w:r w:rsidRPr="00E74346">
        <w:rPr>
          <w:b/>
          <w:sz w:val="24"/>
          <w:szCs w:val="24"/>
        </w:rPr>
        <w:t>A rendelet-tervezet címe:</w:t>
      </w:r>
      <w:r w:rsidRPr="00E74346">
        <w:rPr>
          <w:b/>
          <w:sz w:val="24"/>
          <w:szCs w:val="24"/>
        </w:rPr>
        <w:tab/>
      </w:r>
      <w:r w:rsidR="00C8277B">
        <w:rPr>
          <w:bCs/>
          <w:color w:val="0D0D0D"/>
          <w:sz w:val="24"/>
          <w:szCs w:val="24"/>
        </w:rPr>
        <w:t>a 2019. évi költségvetési végrehajtásáról szóló 10/2020. (VII.14.) rendelet módosításáról</w:t>
      </w:r>
    </w:p>
    <w:p w14:paraId="15AC16B2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 </w:t>
      </w:r>
    </w:p>
    <w:p w14:paraId="05EF67CF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Társadalmi-, gazdasági-, költségvetési hatása: </w:t>
      </w:r>
    </w:p>
    <w:p w14:paraId="4C6E2C11" w14:textId="734CEB17" w:rsidR="003419CF" w:rsidRPr="00E74346" w:rsidRDefault="003419CF" w:rsidP="003419CF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Társadalmi hatás:</w:t>
      </w:r>
      <w:r w:rsidRPr="00E74346">
        <w:rPr>
          <w:sz w:val="24"/>
          <w:szCs w:val="24"/>
        </w:rPr>
        <w:tab/>
      </w:r>
      <w:r w:rsidR="009B7DA0">
        <w:rPr>
          <w:sz w:val="24"/>
          <w:szCs w:val="24"/>
        </w:rPr>
        <w:t xml:space="preserve">az önkormányzat vagyonáról </w:t>
      </w:r>
      <w:r>
        <w:rPr>
          <w:sz w:val="24"/>
          <w:szCs w:val="24"/>
        </w:rPr>
        <w:t>a lakosság és a társadalom minden tagja számára naprakész, pontos tájékoztatás</w:t>
      </w:r>
    </w:p>
    <w:p w14:paraId="399D6709" w14:textId="77777777" w:rsidR="003419CF" w:rsidRPr="00E74346" w:rsidRDefault="003419CF" w:rsidP="003419CF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Gazdasági hatás:</w:t>
      </w:r>
      <w:r w:rsidRPr="00E74346">
        <w:rPr>
          <w:sz w:val="24"/>
          <w:szCs w:val="24"/>
        </w:rPr>
        <w:tab/>
        <w:t>nem kimutatható.</w:t>
      </w:r>
    </w:p>
    <w:p w14:paraId="552D2CB0" w14:textId="60F37996" w:rsidR="003419CF" w:rsidRDefault="003419CF" w:rsidP="009B7DA0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Költségvetési hatás:</w:t>
      </w:r>
      <w:r w:rsidRPr="00E74346">
        <w:rPr>
          <w:sz w:val="24"/>
          <w:szCs w:val="24"/>
        </w:rPr>
        <w:tab/>
      </w:r>
      <w:r w:rsidR="009B7DA0">
        <w:rPr>
          <w:sz w:val="24"/>
          <w:szCs w:val="24"/>
        </w:rPr>
        <w:t>nem kimutatható</w:t>
      </w:r>
    </w:p>
    <w:p w14:paraId="778C667A" w14:textId="77777777" w:rsidR="009B7DA0" w:rsidRPr="00E74346" w:rsidRDefault="009B7DA0" w:rsidP="009B7DA0">
      <w:pPr>
        <w:widowControl/>
        <w:overflowPunct/>
        <w:autoSpaceDE/>
        <w:autoSpaceDN/>
        <w:adjustRightInd/>
        <w:ind w:left="2832" w:hanging="2124"/>
        <w:jc w:val="both"/>
        <w:rPr>
          <w:sz w:val="24"/>
          <w:szCs w:val="24"/>
        </w:rPr>
      </w:pPr>
    </w:p>
    <w:p w14:paraId="41184344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Környezeti, egészségi következményei:</w:t>
      </w:r>
    </w:p>
    <w:p w14:paraId="5AD94DAF" w14:textId="77777777" w:rsidR="003419CF" w:rsidRPr="00E74346" w:rsidRDefault="003419CF" w:rsidP="003419CF">
      <w:pPr>
        <w:widowControl/>
        <w:overflowPunct/>
        <w:jc w:val="both"/>
        <w:rPr>
          <w:sz w:val="24"/>
          <w:szCs w:val="24"/>
        </w:rPr>
      </w:pPr>
      <w:r w:rsidRPr="00E74346">
        <w:rPr>
          <w:sz w:val="24"/>
          <w:szCs w:val="24"/>
        </w:rPr>
        <w:tab/>
        <w:t>A rendeletnek környezeti, egészségi következménye nincs.</w:t>
      </w:r>
    </w:p>
    <w:p w14:paraId="5D862570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7E5724FB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b/>
          <w:sz w:val="24"/>
          <w:szCs w:val="24"/>
        </w:rPr>
        <w:t xml:space="preserve">Adminisztratív terheket befolyásoló hatása: </w:t>
      </w:r>
      <w:r w:rsidRPr="00E74346">
        <w:rPr>
          <w:i/>
          <w:sz w:val="24"/>
          <w:szCs w:val="24"/>
        </w:rPr>
        <w:t xml:space="preserve"> </w:t>
      </w:r>
    </w:p>
    <w:p w14:paraId="7032B594" w14:textId="6044413E" w:rsidR="003419CF" w:rsidRPr="00E74346" w:rsidRDefault="003419CF" w:rsidP="003419CF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>A rendelet</w:t>
      </w:r>
      <w:r>
        <w:rPr>
          <w:sz w:val="24"/>
          <w:szCs w:val="24"/>
        </w:rPr>
        <w:t xml:space="preserve"> módosítás a</w:t>
      </w:r>
      <w:r w:rsidRPr="00E74346">
        <w:rPr>
          <w:sz w:val="24"/>
          <w:szCs w:val="24"/>
        </w:rPr>
        <w:t>dminisztratív terhe</w:t>
      </w:r>
      <w:r>
        <w:rPr>
          <w:sz w:val="24"/>
          <w:szCs w:val="24"/>
        </w:rPr>
        <w:t>ket nem eredményez.</w:t>
      </w:r>
    </w:p>
    <w:p w14:paraId="646CED78" w14:textId="77777777" w:rsidR="003419CF" w:rsidRPr="00E74346" w:rsidRDefault="003419CF" w:rsidP="003419CF">
      <w:pPr>
        <w:widowControl/>
        <w:overflowPunct/>
        <w:autoSpaceDE/>
        <w:autoSpaceDN/>
        <w:adjustRightInd/>
        <w:ind w:left="708"/>
        <w:jc w:val="both"/>
        <w:rPr>
          <w:b/>
          <w:sz w:val="24"/>
          <w:szCs w:val="24"/>
        </w:rPr>
      </w:pPr>
    </w:p>
    <w:p w14:paraId="41DEF46D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Egyéb hatása:</w:t>
      </w:r>
    </w:p>
    <w:p w14:paraId="2153DFA7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i/>
          <w:sz w:val="24"/>
          <w:szCs w:val="24"/>
        </w:rPr>
      </w:pPr>
      <w:r w:rsidRPr="00E74346">
        <w:rPr>
          <w:sz w:val="24"/>
          <w:szCs w:val="24"/>
        </w:rPr>
        <w:t xml:space="preserve"> </w:t>
      </w:r>
      <w:r w:rsidRPr="00E74346">
        <w:rPr>
          <w:sz w:val="24"/>
          <w:szCs w:val="24"/>
        </w:rPr>
        <w:tab/>
        <w:t>A rendeletnek egyéb hatása nincs.</w:t>
      </w:r>
    </w:p>
    <w:p w14:paraId="29B7CC48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0B24ABFE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megalkotásának szükségessége:</w:t>
      </w:r>
    </w:p>
    <w:p w14:paraId="6E3F1E47" w14:textId="2169B326" w:rsidR="003419CF" w:rsidRDefault="009B7DA0" w:rsidP="009B7DA0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Balatongyörök Község Önkormányzat Képviselő-testületének az önkormányzat vagyonáról szóló 20/2014. (XII.19.) önkormányzati rendelet rendelkezéseinek megfelelő az önkormányzat vagyonleltárát is tartalmazó zárszámadási rendelet készítése.</w:t>
      </w:r>
      <w:r w:rsidR="00D931A4">
        <w:rPr>
          <w:bCs/>
          <w:sz w:val="24"/>
          <w:szCs w:val="24"/>
        </w:rPr>
        <w:t xml:space="preserve">, melyet a Zala Megyei Kormányhivatal törvényességi észrevétele során jelzett. </w:t>
      </w:r>
    </w:p>
    <w:p w14:paraId="06E84224" w14:textId="77777777" w:rsidR="009B7DA0" w:rsidRPr="00E74346" w:rsidRDefault="009B7DA0" w:rsidP="009B7DA0">
      <w:pPr>
        <w:widowControl/>
        <w:overflowPunct/>
        <w:autoSpaceDE/>
        <w:autoSpaceDN/>
        <w:adjustRightInd/>
        <w:ind w:left="708"/>
        <w:jc w:val="both"/>
        <w:rPr>
          <w:b/>
          <w:sz w:val="24"/>
          <w:szCs w:val="24"/>
          <w:u w:val="single"/>
        </w:rPr>
      </w:pPr>
    </w:p>
    <w:p w14:paraId="06798D72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 xml:space="preserve">A rendelet megalkotása elmaradása esetén várható következmények: </w:t>
      </w:r>
    </w:p>
    <w:p w14:paraId="00340770" w14:textId="7BC03AB9" w:rsidR="003419CF" w:rsidRPr="00E74346" w:rsidRDefault="003419CF" w:rsidP="003419CF">
      <w:pPr>
        <w:widowControl/>
        <w:overflowPunct/>
        <w:autoSpaceDE/>
        <w:autoSpaceDN/>
        <w:adjustRightInd/>
        <w:ind w:left="708"/>
        <w:jc w:val="both"/>
        <w:rPr>
          <w:bCs/>
          <w:sz w:val="24"/>
          <w:szCs w:val="24"/>
        </w:rPr>
      </w:pPr>
      <w:r w:rsidRPr="00E74346">
        <w:rPr>
          <w:bCs/>
          <w:sz w:val="24"/>
          <w:szCs w:val="24"/>
        </w:rPr>
        <w:t xml:space="preserve">A rendelet módosítása </w:t>
      </w:r>
      <w:r w:rsidR="00D931A4">
        <w:rPr>
          <w:bCs/>
          <w:sz w:val="24"/>
          <w:szCs w:val="24"/>
        </w:rPr>
        <w:t xml:space="preserve">a helyi jogszabályoknak való maradéktalan megfelelés, továbbá a Zala Megyei Kormányhivatal törvényességi észrevételében foglalt jogsértés megszüntetése. </w:t>
      </w:r>
    </w:p>
    <w:p w14:paraId="670E0FEE" w14:textId="77777777" w:rsidR="003419CF" w:rsidRPr="00E74346" w:rsidRDefault="003419CF" w:rsidP="003419CF">
      <w:pPr>
        <w:widowControl/>
        <w:overflowPunct/>
        <w:autoSpaceDE/>
        <w:autoSpaceDN/>
        <w:adjustRightInd/>
        <w:ind w:left="705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 </w:t>
      </w:r>
    </w:p>
    <w:p w14:paraId="2185F8CD" w14:textId="77777777" w:rsidR="003419CF" w:rsidRPr="00E74346" w:rsidRDefault="003419CF" w:rsidP="003419CF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E74346">
        <w:rPr>
          <w:b/>
          <w:sz w:val="24"/>
          <w:szCs w:val="24"/>
        </w:rPr>
        <w:t>A rendelet alkalmazásához szükséges feltételek:</w:t>
      </w:r>
    </w:p>
    <w:p w14:paraId="2BA6A272" w14:textId="77777777" w:rsidR="003419CF" w:rsidRPr="00E74346" w:rsidRDefault="003419CF" w:rsidP="003419CF">
      <w:pPr>
        <w:widowControl/>
        <w:overflowPunct/>
        <w:autoSpaceDE/>
        <w:autoSpaceDN/>
        <w:adjustRightInd/>
        <w:ind w:left="708"/>
        <w:jc w:val="both"/>
        <w:rPr>
          <w:sz w:val="24"/>
          <w:szCs w:val="24"/>
        </w:rPr>
      </w:pPr>
      <w:r w:rsidRPr="00E74346">
        <w:rPr>
          <w:sz w:val="24"/>
          <w:szCs w:val="24"/>
        </w:rPr>
        <w:t xml:space="preserve">A rendelet a meglévő szervezeti-, személyi-, tárgyi- és pénzügyi feltételekkel alkalmazható, további feltételek biztosítását nem igényli, a szükséges feltételek rendelkezésre állnak. </w:t>
      </w:r>
    </w:p>
    <w:p w14:paraId="32B2BE51" w14:textId="77777777" w:rsidR="003419CF" w:rsidRPr="00E74346" w:rsidRDefault="003419CF" w:rsidP="003419CF">
      <w:pPr>
        <w:widowControl/>
        <w:overflowPunct/>
        <w:autoSpaceDE/>
        <w:autoSpaceDN/>
        <w:adjustRightInd/>
        <w:rPr>
          <w:sz w:val="24"/>
          <w:szCs w:val="24"/>
        </w:rPr>
      </w:pPr>
    </w:p>
    <w:bookmarkEnd w:id="0"/>
    <w:p w14:paraId="451B8F7B" w14:textId="77777777" w:rsidR="00632DF4" w:rsidRDefault="00632DF4"/>
    <w:sectPr w:rsidR="0063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A22"/>
    <w:multiLevelType w:val="hybridMultilevel"/>
    <w:tmpl w:val="2A0C7CB6"/>
    <w:lvl w:ilvl="0" w:tplc="E336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31D39"/>
    <w:multiLevelType w:val="hybridMultilevel"/>
    <w:tmpl w:val="AFE2D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CF"/>
    <w:rsid w:val="001D5603"/>
    <w:rsid w:val="003419CF"/>
    <w:rsid w:val="0046697D"/>
    <w:rsid w:val="00632DF4"/>
    <w:rsid w:val="006C08CD"/>
    <w:rsid w:val="009B7DA0"/>
    <w:rsid w:val="009D14CE"/>
    <w:rsid w:val="009D3E16"/>
    <w:rsid w:val="00B42BBE"/>
    <w:rsid w:val="00B977F0"/>
    <w:rsid w:val="00C8277B"/>
    <w:rsid w:val="00D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13F"/>
  <w15:chartTrackingRefBased/>
  <w15:docId w15:val="{A95E5008-D756-4B1A-8268-9E91450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9C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19C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cp:lastPrinted>2021-03-25T09:04:00Z</cp:lastPrinted>
  <dcterms:created xsi:type="dcterms:W3CDTF">2021-03-26T09:05:00Z</dcterms:created>
  <dcterms:modified xsi:type="dcterms:W3CDTF">2021-03-26T09:12:00Z</dcterms:modified>
</cp:coreProperties>
</file>