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EA" w:rsidRDefault="0017187F" w:rsidP="004853E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</w:t>
      </w:r>
      <w:r w:rsidR="00954D04">
        <w:rPr>
          <w:i/>
          <w:sz w:val="18"/>
          <w:szCs w:val="18"/>
        </w:rPr>
        <w:t>6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 w:rsidR="00954D04">
        <w:rPr>
          <w:i/>
          <w:sz w:val="18"/>
          <w:szCs w:val="18"/>
        </w:rPr>
        <w:t>V.17.</w:t>
      </w:r>
      <w:r w:rsidRPr="003044CA">
        <w:rPr>
          <w:i/>
          <w:sz w:val="18"/>
          <w:szCs w:val="18"/>
        </w:rPr>
        <w:t>) önkormányzati rendelethez</w:t>
      </w:r>
    </w:p>
    <w:p w:rsidR="00484813" w:rsidRPr="003044CA" w:rsidRDefault="00484813" w:rsidP="004853EA">
      <w:pPr>
        <w:jc w:val="right"/>
        <w:rPr>
          <w:i/>
          <w:sz w:val="18"/>
          <w:szCs w:val="18"/>
        </w:rPr>
      </w:pPr>
    </w:p>
    <w:p w:rsidR="004853EA" w:rsidRPr="00BA013C" w:rsidRDefault="004853EA" w:rsidP="004853EA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4853EA" w:rsidRPr="003907E6">
        <w:tc>
          <w:tcPr>
            <w:tcW w:w="5452" w:type="dxa"/>
            <w:vAlign w:val="center"/>
          </w:tcPr>
          <w:p w:rsidR="004853EA" w:rsidRPr="003907E6" w:rsidRDefault="004853EA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4853EA" w:rsidRPr="003907E6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</w:t>
            </w:r>
            <w:r w:rsidR="00DE5193">
              <w:rPr>
                <w:b/>
                <w:bCs/>
                <w:sz w:val="18"/>
                <w:szCs w:val="18"/>
              </w:rPr>
              <w:t xml:space="preserve">eredeti 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4853EA" w:rsidRPr="00F424E0" w:rsidRDefault="00DE5193" w:rsidP="004853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2012. mód. előirányzat</w:t>
            </w:r>
          </w:p>
        </w:tc>
        <w:tc>
          <w:tcPr>
            <w:tcW w:w="1260" w:type="dxa"/>
          </w:tcPr>
          <w:p w:rsidR="004853EA" w:rsidRPr="00F424E0" w:rsidRDefault="004853EA" w:rsidP="004853E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 xml:space="preserve">2012. évi </w:t>
            </w:r>
            <w:r w:rsidR="00DE5193">
              <w:rPr>
                <w:b/>
                <w:sz w:val="18"/>
                <w:szCs w:val="18"/>
              </w:rPr>
              <w:t>teljesítés</w:t>
            </w:r>
          </w:p>
        </w:tc>
      </w:tr>
      <w:tr w:rsidR="008739CA" w:rsidRPr="003907E6">
        <w:tc>
          <w:tcPr>
            <w:tcW w:w="5452" w:type="dxa"/>
            <w:vAlign w:val="center"/>
          </w:tcPr>
          <w:p w:rsidR="008739CA" w:rsidRPr="003907E6" w:rsidRDefault="008739CA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8739CA" w:rsidRPr="005E7544" w:rsidRDefault="00CE51CF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4927</w:t>
            </w:r>
          </w:p>
        </w:tc>
        <w:tc>
          <w:tcPr>
            <w:tcW w:w="1080" w:type="dxa"/>
          </w:tcPr>
          <w:p w:rsidR="008739CA" w:rsidRPr="000D0494" w:rsidRDefault="008739CA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4.927</w:t>
            </w:r>
          </w:p>
        </w:tc>
        <w:tc>
          <w:tcPr>
            <w:tcW w:w="1260" w:type="dxa"/>
          </w:tcPr>
          <w:p w:rsidR="008739CA" w:rsidRPr="005E7544" w:rsidRDefault="000D049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5.008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4.012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4.012</w:t>
            </w:r>
          </w:p>
        </w:tc>
        <w:tc>
          <w:tcPr>
            <w:tcW w:w="1260" w:type="dxa"/>
          </w:tcPr>
          <w:p w:rsidR="00CE51CF" w:rsidRPr="005E7544" w:rsidRDefault="000D049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4.018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3.547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3.547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3.499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915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915</w:t>
            </w:r>
          </w:p>
        </w:tc>
        <w:tc>
          <w:tcPr>
            <w:tcW w:w="1260" w:type="dxa"/>
          </w:tcPr>
          <w:p w:rsidR="00CE51CF" w:rsidRPr="005E7544" w:rsidRDefault="005A10C5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5E7544" w:rsidRDefault="00CE51CF" w:rsidP="004853E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7.522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9.494</w:t>
            </w:r>
          </w:p>
        </w:tc>
        <w:tc>
          <w:tcPr>
            <w:tcW w:w="1260" w:type="dxa"/>
          </w:tcPr>
          <w:p w:rsidR="00CE51CF" w:rsidRPr="005E7544" w:rsidRDefault="005A10C5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9.494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6.438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6.438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6.438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1.084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2.030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Fenntartott, illetve támogatott előadó-művészeti szerv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5.486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5.785</w:t>
            </w:r>
          </w:p>
        </w:tc>
        <w:tc>
          <w:tcPr>
            <w:tcW w:w="1260" w:type="dxa"/>
          </w:tcPr>
          <w:p w:rsidR="00CE51CF" w:rsidRPr="000D0494" w:rsidRDefault="000D049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4.585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1.098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CE51CF" w:rsidRPr="003907E6" w:rsidRDefault="00A929F9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3.586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CE51CF" w:rsidRPr="003907E6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3.586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CE51CF" w:rsidRPr="005E7544" w:rsidRDefault="00A929F9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:rsidR="00CE51CF" w:rsidRPr="005E7544" w:rsidRDefault="000D049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</w:tcPr>
          <w:p w:rsidR="00CE51CF" w:rsidRPr="003907E6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:rsidR="00CE51CF" w:rsidRPr="003907E6" w:rsidRDefault="000D049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CE51CF" w:rsidRPr="003907E6">
        <w:tc>
          <w:tcPr>
            <w:tcW w:w="5452" w:type="dxa"/>
            <w:vAlign w:val="bottom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CE51CF" w:rsidRPr="005E7544" w:rsidRDefault="00CE51CF" w:rsidP="004853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1260" w:type="dxa"/>
          </w:tcPr>
          <w:p w:rsidR="00CE51CF" w:rsidRPr="005E7544" w:rsidRDefault="005A10C5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</w:tcPr>
          <w:p w:rsidR="00CE51CF" w:rsidRPr="003907E6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CE51CF" w:rsidRPr="00484813" w:rsidRDefault="00A929F9" w:rsidP="004853E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17.955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i/>
                <w:sz w:val="18"/>
                <w:szCs w:val="18"/>
              </w:rPr>
            </w:pPr>
            <w:r w:rsidRPr="000D0494">
              <w:rPr>
                <w:i/>
                <w:sz w:val="18"/>
                <w:szCs w:val="18"/>
              </w:rPr>
              <w:t>20.346</w:t>
            </w:r>
          </w:p>
        </w:tc>
        <w:tc>
          <w:tcPr>
            <w:tcW w:w="1260" w:type="dxa"/>
          </w:tcPr>
          <w:p w:rsidR="00CE51CF" w:rsidRPr="000D0494" w:rsidRDefault="000D0494" w:rsidP="004853E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19.237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CE51CF" w:rsidRPr="005E7544" w:rsidRDefault="00A929F9" w:rsidP="004853EA">
            <w:pPr>
              <w:jc w:val="right"/>
              <w:rPr>
                <w:bCs/>
              </w:rPr>
            </w:pPr>
            <w:r>
              <w:rPr>
                <w:bCs/>
              </w:rPr>
              <w:t>1.130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  <w:tc>
          <w:tcPr>
            <w:tcW w:w="1260" w:type="dxa"/>
            <w:vAlign w:val="center"/>
          </w:tcPr>
          <w:p w:rsidR="00CE51CF" w:rsidRPr="005E7544" w:rsidRDefault="005A10C5" w:rsidP="004853EA">
            <w:pPr>
              <w:jc w:val="right"/>
              <w:rPr>
                <w:bCs/>
              </w:rPr>
            </w:pPr>
            <w:r>
              <w:rPr>
                <w:bCs/>
              </w:rPr>
              <w:t>1.130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E51CF" w:rsidRDefault="00A929F9" w:rsidP="004853EA">
            <w:pPr>
              <w:jc w:val="right"/>
            </w:pPr>
            <w:r>
              <w:t>1.130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  <w:tc>
          <w:tcPr>
            <w:tcW w:w="1260" w:type="dxa"/>
            <w:vAlign w:val="center"/>
          </w:tcPr>
          <w:p w:rsidR="00CE51CF" w:rsidRDefault="005A10C5" w:rsidP="004853EA">
            <w:pPr>
              <w:jc w:val="right"/>
            </w:pPr>
            <w:r>
              <w:t>1.130</w:t>
            </w: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3907E6">
        <w:tc>
          <w:tcPr>
            <w:tcW w:w="5452" w:type="dxa"/>
            <w:vAlign w:val="center"/>
          </w:tcPr>
          <w:p w:rsidR="00CE51CF" w:rsidRPr="003907E6" w:rsidRDefault="00CE51CF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CE51CF" w:rsidRDefault="00CE51CF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CE51CF" w:rsidRPr="003907E6" w:rsidRDefault="00CE51CF" w:rsidP="00A92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E51CF" w:rsidRPr="003907E6" w:rsidRDefault="00CE51CF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CE51CF" w:rsidRPr="00D35946">
        <w:tc>
          <w:tcPr>
            <w:tcW w:w="5452" w:type="dxa"/>
            <w:vAlign w:val="center"/>
          </w:tcPr>
          <w:p w:rsidR="00CE51CF" w:rsidRPr="003907E6" w:rsidRDefault="00CE51CF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CE51CF" w:rsidRPr="000F13A5" w:rsidRDefault="00A929F9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19.085</w:t>
            </w:r>
          </w:p>
        </w:tc>
        <w:tc>
          <w:tcPr>
            <w:tcW w:w="1080" w:type="dxa"/>
          </w:tcPr>
          <w:p w:rsidR="00CE51CF" w:rsidRPr="000D0494" w:rsidRDefault="00CE51CF" w:rsidP="00A929F9">
            <w:pPr>
              <w:jc w:val="right"/>
              <w:rPr>
                <w:b/>
                <w:sz w:val="18"/>
                <w:szCs w:val="18"/>
              </w:rPr>
            </w:pPr>
            <w:r w:rsidRPr="000D0494">
              <w:rPr>
                <w:b/>
                <w:sz w:val="18"/>
                <w:szCs w:val="18"/>
              </w:rPr>
              <w:t>21.476</w:t>
            </w:r>
          </w:p>
        </w:tc>
        <w:tc>
          <w:tcPr>
            <w:tcW w:w="1260" w:type="dxa"/>
          </w:tcPr>
          <w:p w:rsidR="00CE51CF" w:rsidRPr="000D0494" w:rsidRDefault="000D049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20.367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jc w:val="right"/>
        <w:rPr>
          <w:sz w:val="22"/>
          <w:szCs w:val="22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4813" w:rsidRDefault="00484813" w:rsidP="004853EA">
      <w:pPr>
        <w:rPr>
          <w:i/>
          <w:sz w:val="18"/>
          <w:szCs w:val="18"/>
        </w:rPr>
      </w:pPr>
    </w:p>
    <w:p w:rsidR="004853EA" w:rsidRPr="00BA013C" w:rsidRDefault="004853EA" w:rsidP="004853EA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lastRenderedPageBreak/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4853E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3907E6" w:rsidRDefault="004853EA" w:rsidP="000277A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Pr="003907E6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</w:t>
            </w:r>
            <w:r w:rsidR="00DE5193">
              <w:rPr>
                <w:b/>
                <w:bCs/>
                <w:sz w:val="18"/>
                <w:szCs w:val="18"/>
              </w:rPr>
              <w:t xml:space="preserve"> eredeti </w:t>
            </w:r>
            <w:r>
              <w:rPr>
                <w:b/>
                <w:bCs/>
                <w:sz w:val="18"/>
                <w:szCs w:val="18"/>
              </w:rPr>
              <w:t xml:space="preserve"> előir</w:t>
            </w:r>
            <w:r w:rsidR="00DE5193">
              <w:rPr>
                <w:b/>
                <w:bCs/>
                <w:sz w:val="18"/>
                <w:szCs w:val="18"/>
              </w:rPr>
              <w:t>ányzat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DE5193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mód. előirányzat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</w:t>
            </w:r>
            <w:r w:rsidR="00DE5193">
              <w:rPr>
                <w:b/>
                <w:bCs/>
                <w:sz w:val="18"/>
                <w:szCs w:val="18"/>
              </w:rPr>
              <w:t xml:space="preserve"> teljesítés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13.762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14.276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12.099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3.713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3.319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5A10C5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4.070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1.586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5A10C5" w:rsidP="005A1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2.474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4.839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7.189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7.189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CA" w:rsidRPr="005A6F74" w:rsidRDefault="008739CA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0277A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A929F9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19.085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21.476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19.288</w:t>
            </w: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CA" w:rsidRDefault="008739CA" w:rsidP="004853EA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CA" w:rsidRPr="005A6F74" w:rsidRDefault="008739CA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8739CA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CA" w:rsidRPr="005A6F74" w:rsidRDefault="008739CA" w:rsidP="004853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39CA" w:rsidRDefault="00A929F9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19.085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8739CA" w:rsidP="00A929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21.476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9CA" w:rsidRPr="005A6F74" w:rsidRDefault="005A10C5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19.288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3. sz. táblázat</w:t>
      </w:r>
    </w:p>
    <w:p w:rsidR="004853EA" w:rsidRDefault="004853EA" w:rsidP="004853EA">
      <w:pPr>
        <w:jc w:val="center"/>
        <w:rPr>
          <w:b/>
          <w:bCs/>
          <w:sz w:val="22"/>
          <w:szCs w:val="22"/>
        </w:rPr>
      </w:pPr>
    </w:p>
    <w:p w:rsidR="004853EA" w:rsidRDefault="004853EA" w:rsidP="004853EA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583"/>
        <w:gridCol w:w="1235"/>
        <w:gridCol w:w="1235"/>
        <w:gridCol w:w="1235"/>
      </w:tblGrid>
      <w:tr w:rsidR="004853EA" w:rsidRPr="002E1295">
        <w:tc>
          <w:tcPr>
            <w:tcW w:w="5583" w:type="dxa"/>
            <w:vAlign w:val="center"/>
          </w:tcPr>
          <w:p w:rsidR="004853EA" w:rsidRPr="002E1295" w:rsidRDefault="004853EA" w:rsidP="004853EA">
            <w:pPr>
              <w:rPr>
                <w:b/>
                <w:bCs/>
              </w:rPr>
            </w:pPr>
            <w:r w:rsidRPr="002E1295">
              <w:rPr>
                <w:b/>
                <w:bCs/>
              </w:rPr>
              <w:t xml:space="preserve">Költségvetési hiány, többlet ( költségvetési bevételek </w:t>
            </w:r>
            <w:r>
              <w:rPr>
                <w:b/>
                <w:bCs/>
              </w:rPr>
              <w:t>-</w:t>
            </w:r>
            <w:r w:rsidRPr="002E1295">
              <w:rPr>
                <w:b/>
                <w:bCs/>
              </w:rPr>
              <w:t>költ</w:t>
            </w:r>
            <w:r>
              <w:rPr>
                <w:b/>
                <w:bCs/>
              </w:rPr>
              <w:t>ségvetési kiadások )</w:t>
            </w:r>
          </w:p>
        </w:tc>
        <w:tc>
          <w:tcPr>
            <w:tcW w:w="1235" w:type="dxa"/>
          </w:tcPr>
          <w:p w:rsidR="004853EA" w:rsidRPr="000D74E7" w:rsidRDefault="00A929F9" w:rsidP="004853EA">
            <w:pPr>
              <w:jc w:val="center"/>
              <w:rPr>
                <w:b/>
              </w:rPr>
            </w:pPr>
            <w:r>
              <w:rPr>
                <w:b/>
              </w:rPr>
              <w:t>- 1.130</w:t>
            </w:r>
          </w:p>
        </w:tc>
        <w:tc>
          <w:tcPr>
            <w:tcW w:w="1235" w:type="dxa"/>
          </w:tcPr>
          <w:p w:rsidR="004853EA" w:rsidRPr="000D74E7" w:rsidRDefault="000D0494" w:rsidP="004853EA">
            <w:pPr>
              <w:jc w:val="center"/>
              <w:rPr>
                <w:b/>
              </w:rPr>
            </w:pPr>
            <w:r>
              <w:rPr>
                <w:b/>
              </w:rPr>
              <w:t>- 1.130</w:t>
            </w:r>
          </w:p>
        </w:tc>
        <w:tc>
          <w:tcPr>
            <w:tcW w:w="1235" w:type="dxa"/>
          </w:tcPr>
          <w:p w:rsidR="004853EA" w:rsidRPr="000D74E7" w:rsidRDefault="000D0494" w:rsidP="004853EA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</w:tr>
    </w:tbl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853EA" w:rsidRDefault="004853EA" w:rsidP="004853EA">
      <w:pPr>
        <w:jc w:val="center"/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4853E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rPr>
                <w:b/>
                <w:bCs/>
              </w:rPr>
            </w:pPr>
            <w:r w:rsidRPr="0017476C">
              <w:rPr>
                <w:b/>
                <w:bCs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3EA" w:rsidRDefault="000D0494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EA" w:rsidRPr="0017476C" w:rsidRDefault="004853EA" w:rsidP="004853EA">
            <w:pPr>
              <w:ind w:firstLineChars="500" w:firstLine="1000"/>
            </w:pPr>
            <w:r w:rsidRPr="0017476C"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Finanszírozási célú pénzügyi műv.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EA" w:rsidRPr="0017476C" w:rsidRDefault="004853EA" w:rsidP="004853EA">
            <w:pPr>
              <w:ind w:firstLineChars="500" w:firstLine="1000"/>
            </w:pPr>
            <w:r w:rsidRPr="0017476C"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A929F9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0D0494" w:rsidP="004853EA">
            <w:pPr>
              <w:jc w:val="right"/>
            </w:pPr>
            <w:r>
              <w:t>0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Pr="006F5187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center"/>
        <w:rPr>
          <w:b/>
        </w:rPr>
      </w:pPr>
    </w:p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>
      <w:pPr>
        <w:jc w:val="right"/>
        <w:rPr>
          <w:i/>
        </w:rPr>
        <w:sectPr w:rsidR="004853EA" w:rsidSect="004853EA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53EA" w:rsidRDefault="004853EA" w:rsidP="004853EA">
      <w:pPr>
        <w:jc w:val="right"/>
        <w:rPr>
          <w:i/>
        </w:rPr>
      </w:pPr>
      <w:r>
        <w:rPr>
          <w:i/>
        </w:rPr>
        <w:lastRenderedPageBreak/>
        <w:t xml:space="preserve">2.1.  melléklet a </w:t>
      </w:r>
      <w:r w:rsidR="00954D04">
        <w:rPr>
          <w:i/>
          <w:sz w:val="18"/>
          <w:szCs w:val="18"/>
        </w:rPr>
        <w:t>6</w:t>
      </w:r>
      <w:r w:rsidR="00954D04" w:rsidRPr="003044CA">
        <w:rPr>
          <w:i/>
          <w:sz w:val="18"/>
          <w:szCs w:val="18"/>
        </w:rPr>
        <w:t>/201</w:t>
      </w:r>
      <w:r w:rsidR="00954D04">
        <w:rPr>
          <w:i/>
          <w:sz w:val="18"/>
          <w:szCs w:val="18"/>
        </w:rPr>
        <w:t>3</w:t>
      </w:r>
      <w:r w:rsidR="00954D04" w:rsidRPr="003044CA">
        <w:rPr>
          <w:i/>
          <w:sz w:val="18"/>
          <w:szCs w:val="18"/>
        </w:rPr>
        <w:t>.(</w:t>
      </w:r>
      <w:r w:rsidR="00954D04">
        <w:rPr>
          <w:i/>
          <w:sz w:val="18"/>
          <w:szCs w:val="18"/>
        </w:rPr>
        <w:t>V.17.</w:t>
      </w:r>
      <w:r w:rsidR="00954D04" w:rsidRPr="003044CA">
        <w:rPr>
          <w:i/>
          <w:sz w:val="18"/>
          <w:szCs w:val="18"/>
        </w:rPr>
        <w:t>)</w:t>
      </w:r>
      <w:r>
        <w:rPr>
          <w:i/>
        </w:rPr>
        <w:t xml:space="preserve"> önkormányzati rendelethez</w:t>
      </w:r>
    </w:p>
    <w:p w:rsidR="004853EA" w:rsidRDefault="004853EA" w:rsidP="004853EA">
      <w:pPr>
        <w:jc w:val="right"/>
        <w:rPr>
          <w:i/>
        </w:rPr>
      </w:pPr>
    </w:p>
    <w:p w:rsidR="004853EA" w:rsidRDefault="004853EA" w:rsidP="004853EA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vertAnchor="page" w:horzAnchor="margin" w:tblpY="2499"/>
        <w:tblW w:w="14328" w:type="dxa"/>
        <w:tblLook w:val="01E0"/>
      </w:tblPr>
      <w:tblGrid>
        <w:gridCol w:w="4312"/>
        <w:gridCol w:w="1068"/>
        <w:gridCol w:w="1011"/>
        <w:gridCol w:w="916"/>
        <w:gridCol w:w="4022"/>
        <w:gridCol w:w="1072"/>
        <w:gridCol w:w="1011"/>
        <w:gridCol w:w="916"/>
      </w:tblGrid>
      <w:tr w:rsidR="00DE5193" w:rsidRPr="00AD37E9">
        <w:tc>
          <w:tcPr>
            <w:tcW w:w="73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702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DE5193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eredeti</w:t>
            </w:r>
            <w:r w:rsidRPr="00AD37E9">
              <w:t xml:space="preserve"> elői.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évi  teljesítés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 xml:space="preserve">redeti </w:t>
            </w:r>
            <w:r w:rsidRPr="00AD37E9">
              <w:t>elői</w:t>
            </w:r>
            <w:r w:rsidR="00DE5193">
              <w:t>rányz.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 xml:space="preserve"> teljesítés</w:t>
            </w:r>
          </w:p>
        </w:tc>
      </w:tr>
      <w:tr w:rsidR="000D0494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Önkormányzatok sajátos működési bevételei</w:t>
            </w:r>
          </w:p>
        </w:tc>
        <w:tc>
          <w:tcPr>
            <w:tcW w:w="1068" w:type="dxa"/>
            <w:tcBorders>
              <w:top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  <w:r>
              <w:t>915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  <w:r>
              <w:t>915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990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494" w:rsidRPr="00AD37E9" w:rsidRDefault="000D0494" w:rsidP="000D0494">
            <w:r>
              <w:t>Személyi juttatások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  <w:r>
              <w:t>3.912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  <w:r>
              <w:t>3.954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3.713</w:t>
            </w: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V</w:t>
            </w:r>
            <w:r w:rsidRPr="00AD37E9">
              <w:t>agyoni értékű jog ért</w:t>
            </w:r>
            <w:r>
              <w:t>ékesítése, hasznosítása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Munkaadót terhelő járulékok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  <w:r>
              <w:t>1.055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1.067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997</w:t>
            </w: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Közhatalmi bevételek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  <w:r>
              <w:t>4.012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4.012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4.018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Dologi kiadások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  <w:r>
              <w:t>4.255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4.505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3.319</w:t>
            </w: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Támogatások, kiegészítések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  <w:r>
              <w:t>7.522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7.494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7.494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Egyéb működési célú kiadások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  <w:r>
              <w:t>4.540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4.750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A1310D" w:rsidP="000D0494">
            <w:pPr>
              <w:jc w:val="right"/>
            </w:pPr>
            <w:r>
              <w:t>4.070</w:t>
            </w: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Támogatásértékű bevételek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  <w:r>
              <w:t>799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1.098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907924" w:rsidP="000D0494">
            <w:pPr>
              <w:jc w:val="right"/>
            </w:pPr>
            <w:r>
              <w:t>999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pPr>
              <w:ind w:left="708" w:hanging="708"/>
            </w:pPr>
            <w:r>
              <w:t>Tartalékok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  <w:r>
              <w:t>484</w:t>
            </w: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281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EU támogatás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Működési célú pénzeszközátvétel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  <w:r>
              <w:t>120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907924" w:rsidP="000D0494">
            <w:pPr>
              <w:jc w:val="right"/>
            </w:pPr>
            <w:r>
              <w:t>120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Működési célú kölcsön visszatérítése, igénybevétele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/>
        </w:tc>
      </w:tr>
      <w:tr w:rsidR="000D0494" w:rsidRPr="00AD37E9">
        <w:trPr>
          <w:trHeight w:val="165"/>
        </w:trPr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13.248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13.639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907924" w:rsidP="000D0494">
            <w:pPr>
              <w:jc w:val="right"/>
              <w:rPr>
                <w:b/>
              </w:rPr>
            </w:pPr>
            <w:r>
              <w:rPr>
                <w:b/>
              </w:rPr>
              <w:t>13.621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F56CCB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14.246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F56CCB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14.557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F56CCB" w:rsidRDefault="00A1310D" w:rsidP="000D0494">
            <w:pPr>
              <w:jc w:val="right"/>
              <w:rPr>
                <w:b/>
              </w:rPr>
            </w:pPr>
            <w:r>
              <w:rPr>
                <w:b/>
              </w:rPr>
              <w:t>12.099</w:t>
            </w:r>
          </w:p>
        </w:tc>
      </w:tr>
      <w:tr w:rsidR="000D0494" w:rsidRPr="00AD37E9">
        <w:trPr>
          <w:trHeight w:val="60"/>
        </w:trPr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  <w:tcBorders>
              <w:top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0494" w:rsidRDefault="000D0494" w:rsidP="000D0494"/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/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Előző évi műk. célú pénzmaradvány igénybevét</w:t>
            </w:r>
            <w:r>
              <w:rPr>
                <w:b/>
              </w:rPr>
              <w:t>.</w:t>
            </w:r>
          </w:p>
        </w:tc>
        <w:tc>
          <w:tcPr>
            <w:tcW w:w="1068" w:type="dxa"/>
          </w:tcPr>
          <w:p w:rsidR="000D0494" w:rsidRPr="00D52F6C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1.130</w:t>
            </w:r>
          </w:p>
        </w:tc>
        <w:tc>
          <w:tcPr>
            <w:tcW w:w="1011" w:type="dxa"/>
          </w:tcPr>
          <w:p w:rsidR="000D0494" w:rsidRPr="00D52F6C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1.130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D52F6C" w:rsidRDefault="00907924" w:rsidP="000D0494">
            <w:pPr>
              <w:jc w:val="right"/>
              <w:rPr>
                <w:b/>
              </w:rPr>
            </w:pPr>
            <w:r>
              <w:rPr>
                <w:b/>
              </w:rPr>
              <w:t>1.130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Értékpapír vásárlása, visszavásárlása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Likviditási hitel törlesztése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Értékpapír kibocsátása, értékesítése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Rövid lejáratú hitel törlesztése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Hitelek felvétele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Hosszú lejáratú hitel törlesztése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Kapott kölcsön, nyújtott kölcsön visszatérülése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Kölcsön törlesztése, adott kölcsön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Forg. célú belf., külf. értékpapírok kibocsátása, ért.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Befektetési célú belf.,külf. értékpapírok vás.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Betét visszavonásából származó bevétel</w:t>
            </w:r>
          </w:p>
        </w:tc>
        <w:tc>
          <w:tcPr>
            <w:tcW w:w="1068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Forgatási célú belf., külf. értékpapírok vásárlása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 w:rsidRPr="00AD37E9">
              <w:t>Egyéb működési finanszírozási célú bevétel</w:t>
            </w:r>
          </w:p>
        </w:tc>
        <w:tc>
          <w:tcPr>
            <w:tcW w:w="1068" w:type="dxa"/>
          </w:tcPr>
          <w:p w:rsidR="000D0494" w:rsidRPr="00AD37E9" w:rsidRDefault="000D0494" w:rsidP="000D0494"/>
        </w:tc>
        <w:tc>
          <w:tcPr>
            <w:tcW w:w="1011" w:type="dxa"/>
          </w:tcPr>
          <w:p w:rsidR="000D0494" w:rsidRPr="00AD37E9" w:rsidRDefault="000D0494" w:rsidP="000D0494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Betét elhelyezése</w:t>
            </w:r>
          </w:p>
        </w:tc>
        <w:tc>
          <w:tcPr>
            <w:tcW w:w="1072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</w:tcPr>
          <w:p w:rsidR="000D0494" w:rsidRPr="00AD37E9" w:rsidRDefault="000D0494" w:rsidP="000D0494"/>
        </w:tc>
        <w:tc>
          <w:tcPr>
            <w:tcW w:w="1011" w:type="dxa"/>
          </w:tcPr>
          <w:p w:rsidR="000D0494" w:rsidRPr="00AD37E9" w:rsidRDefault="000D0494" w:rsidP="000D0494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Pr="00AD37E9" w:rsidRDefault="000D0494" w:rsidP="000D0494">
            <w:r>
              <w:t>Egyéb</w:t>
            </w:r>
          </w:p>
        </w:tc>
        <w:tc>
          <w:tcPr>
            <w:tcW w:w="1072" w:type="dxa"/>
          </w:tcPr>
          <w:p w:rsidR="000D0494" w:rsidRPr="00AD37E9" w:rsidRDefault="000D0494" w:rsidP="000D0494"/>
        </w:tc>
        <w:tc>
          <w:tcPr>
            <w:tcW w:w="1011" w:type="dxa"/>
          </w:tcPr>
          <w:p w:rsidR="000D0494" w:rsidRPr="00AD37E9" w:rsidRDefault="000D0494" w:rsidP="000D0494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/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</w:tcPr>
          <w:p w:rsidR="000D0494" w:rsidRPr="00AD37E9" w:rsidRDefault="000D0494" w:rsidP="000D0494"/>
        </w:tc>
        <w:tc>
          <w:tcPr>
            <w:tcW w:w="1011" w:type="dxa"/>
          </w:tcPr>
          <w:p w:rsidR="000D0494" w:rsidRPr="00AD37E9" w:rsidRDefault="000D0494" w:rsidP="000D0494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0D0494" w:rsidRDefault="000D0494" w:rsidP="000D0494"/>
        </w:tc>
        <w:tc>
          <w:tcPr>
            <w:tcW w:w="1072" w:type="dxa"/>
          </w:tcPr>
          <w:p w:rsidR="000D0494" w:rsidRPr="00AD37E9" w:rsidRDefault="000D0494" w:rsidP="000D0494"/>
        </w:tc>
        <w:tc>
          <w:tcPr>
            <w:tcW w:w="1011" w:type="dxa"/>
          </w:tcPr>
          <w:p w:rsidR="000D0494" w:rsidRPr="00AD37E9" w:rsidRDefault="000D0494" w:rsidP="000D0494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0D0494" w:rsidRPr="00AD37E9" w:rsidRDefault="000D0494" w:rsidP="000D0494"/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Default="000D0494" w:rsidP="000D0494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AD37E9" w:rsidRDefault="000D0494" w:rsidP="000D0494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AD37E9" w:rsidRDefault="000D0494" w:rsidP="000D0494"/>
        </w:tc>
      </w:tr>
      <w:tr w:rsidR="000D0494" w:rsidRPr="00053A41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</w:tr>
      <w:tr w:rsidR="000D0494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</w:tr>
      <w:tr w:rsidR="000D0494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2446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14.378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02446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14.769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024461" w:rsidRDefault="00907924" w:rsidP="000D0494">
            <w:pPr>
              <w:jc w:val="right"/>
              <w:rPr>
                <w:b/>
              </w:rPr>
            </w:pPr>
            <w:r>
              <w:rPr>
                <w:b/>
              </w:rPr>
              <w:t>14.751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655048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14.246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D0494" w:rsidRPr="00655048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14.557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D0494" w:rsidRPr="00655048" w:rsidRDefault="00A1310D" w:rsidP="000D0494">
            <w:pPr>
              <w:jc w:val="right"/>
              <w:rPr>
                <w:b/>
              </w:rPr>
            </w:pPr>
            <w:r>
              <w:rPr>
                <w:b/>
              </w:rPr>
              <w:t>12.099</w:t>
            </w:r>
          </w:p>
        </w:tc>
      </w:tr>
      <w:tr w:rsidR="000D0494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998</w:t>
            </w: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053A41" w:rsidRDefault="000D0494" w:rsidP="000D0494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D0494" w:rsidRPr="00053A41" w:rsidRDefault="000D0494" w:rsidP="000D0494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0D0494" w:rsidRPr="00AD37E9" w:rsidRDefault="000D0494" w:rsidP="000D0494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D0494" w:rsidRPr="009B610F" w:rsidRDefault="00907924" w:rsidP="000D0494">
            <w:pPr>
              <w:jc w:val="right"/>
              <w:rPr>
                <w:b/>
              </w:rPr>
            </w:pPr>
            <w:r>
              <w:rPr>
                <w:b/>
              </w:rPr>
              <w:t>1.522</w:t>
            </w:r>
          </w:p>
        </w:tc>
      </w:tr>
    </w:tbl>
    <w:p w:rsidR="004853EA" w:rsidRDefault="004853EA" w:rsidP="004853EA">
      <w:pPr>
        <w:sectPr w:rsidR="004853EA" w:rsidSect="004853EA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853EA" w:rsidRDefault="004853EA" w:rsidP="004853EA">
      <w:pPr>
        <w:jc w:val="right"/>
        <w:rPr>
          <w:i/>
        </w:rPr>
      </w:pPr>
      <w:r w:rsidRPr="00053A41">
        <w:rPr>
          <w:i/>
        </w:rPr>
        <w:lastRenderedPageBreak/>
        <w:t>2.</w:t>
      </w:r>
      <w:r>
        <w:rPr>
          <w:i/>
        </w:rPr>
        <w:t xml:space="preserve">2. sz. melléklet </w:t>
      </w:r>
      <w:r w:rsidR="00954D04">
        <w:rPr>
          <w:i/>
        </w:rPr>
        <w:t xml:space="preserve">a </w:t>
      </w:r>
      <w:r w:rsidR="00954D04">
        <w:rPr>
          <w:i/>
          <w:sz w:val="18"/>
          <w:szCs w:val="18"/>
        </w:rPr>
        <w:t>6</w:t>
      </w:r>
      <w:r w:rsidR="00954D04" w:rsidRPr="003044CA">
        <w:rPr>
          <w:i/>
          <w:sz w:val="18"/>
          <w:szCs w:val="18"/>
        </w:rPr>
        <w:t>/201</w:t>
      </w:r>
      <w:r w:rsidR="00954D04">
        <w:rPr>
          <w:i/>
          <w:sz w:val="18"/>
          <w:szCs w:val="18"/>
        </w:rPr>
        <w:t>3</w:t>
      </w:r>
      <w:r w:rsidR="00954D04" w:rsidRPr="003044CA">
        <w:rPr>
          <w:i/>
          <w:sz w:val="18"/>
          <w:szCs w:val="18"/>
        </w:rPr>
        <w:t>.(</w:t>
      </w:r>
      <w:r w:rsidR="00954D04">
        <w:rPr>
          <w:i/>
          <w:sz w:val="18"/>
          <w:szCs w:val="18"/>
        </w:rPr>
        <w:t>V.17.</w:t>
      </w:r>
      <w:r w:rsidR="00954D04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>önkormányzati rendelethez</w:t>
      </w:r>
      <w:r>
        <w:rPr>
          <w:i/>
        </w:rPr>
        <w:tab/>
      </w:r>
    </w:p>
    <w:p w:rsidR="004853EA" w:rsidRDefault="004853EA" w:rsidP="004853EA">
      <w:pPr>
        <w:jc w:val="right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853EA" w:rsidRDefault="004853EA" w:rsidP="004853EA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334"/>
        <w:gridCol w:w="1071"/>
        <w:gridCol w:w="962"/>
        <w:gridCol w:w="916"/>
        <w:gridCol w:w="4046"/>
        <w:gridCol w:w="1072"/>
        <w:gridCol w:w="1011"/>
        <w:gridCol w:w="916"/>
      </w:tblGrid>
      <w:tr w:rsidR="00DE5193" w:rsidRPr="00AD37E9">
        <w:tc>
          <w:tcPr>
            <w:tcW w:w="728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704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DE5193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 xml:space="preserve">redeti </w:t>
            </w:r>
            <w:r w:rsidRPr="00AD37E9">
              <w:t xml:space="preserve"> elői.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teljesítés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>redeti előirányz.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teljesítés</w:t>
            </w:r>
          </w:p>
        </w:tc>
      </w:tr>
      <w:tr w:rsidR="00CE51CF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E51CF" w:rsidRPr="00AD37E9" w:rsidRDefault="00CE51CF" w:rsidP="00CE51CF">
            <w:r>
              <w:t>Tárgyi eszközök, immateriális javak értékesítése</w:t>
            </w:r>
          </w:p>
        </w:tc>
        <w:tc>
          <w:tcPr>
            <w:tcW w:w="1071" w:type="dxa"/>
            <w:tcBorders>
              <w:top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  <w:tcBorders>
              <w:top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E51CF" w:rsidRPr="00AD37E9" w:rsidRDefault="00CE51CF" w:rsidP="00CE51CF">
            <w:r>
              <w:t>Intézményi beruházási kiadások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CE51CF" w:rsidRPr="00AD37E9" w:rsidRDefault="000D0494" w:rsidP="00CE51CF">
            <w:pPr>
              <w:jc w:val="right"/>
            </w:pPr>
            <w:r>
              <w:t>1.050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Vagyoni értékű jogok értékesítése, hasznosítása</w:t>
            </w:r>
          </w:p>
        </w:tc>
        <w:tc>
          <w:tcPr>
            <w:tcW w:w="1071" w:type="dxa"/>
          </w:tcPr>
          <w:p w:rsidR="00CE51CF" w:rsidRPr="00AD37E9" w:rsidRDefault="000D0494" w:rsidP="00CE51CF">
            <w:pPr>
              <w:jc w:val="right"/>
            </w:pPr>
            <w:r>
              <w:t>20</w:t>
            </w: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  <w:r>
              <w:t>20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907924" w:rsidP="00CE51CF">
            <w:pPr>
              <w:jc w:val="right"/>
            </w:pPr>
            <w:r>
              <w:t>30</w:t>
            </w: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Felújítások</w:t>
            </w:r>
          </w:p>
        </w:tc>
        <w:tc>
          <w:tcPr>
            <w:tcW w:w="1072" w:type="dxa"/>
          </w:tcPr>
          <w:p w:rsidR="00CE51CF" w:rsidRPr="00AD37E9" w:rsidRDefault="000D0494" w:rsidP="00CE51CF">
            <w:pPr>
              <w:jc w:val="right"/>
            </w:pPr>
            <w:r>
              <w:t>3.789</w:t>
            </w: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  <w:r>
              <w:t>6.919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A1310D" w:rsidP="00CE51CF">
            <w:pPr>
              <w:jc w:val="right"/>
            </w:pPr>
            <w:r>
              <w:t>7.189</w:t>
            </w: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 xml:space="preserve">Pénzügyi befektetésekből származó bevétel 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Lakástámogatás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Címzett és céltámogatások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Lakásépítés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Egyéb felhalm. bev. (ÁFA)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pPr>
              <w:ind w:left="708" w:hanging="708"/>
            </w:pPr>
            <w:r>
              <w:t>EU-s forrásból finansz. támogatással megval.pr.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Központosított előirányzatokból támogatás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  <w:r>
              <w:t>2.000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907924" w:rsidP="00CE51CF">
            <w:pPr>
              <w:jc w:val="right"/>
            </w:pPr>
            <w:r>
              <w:t>2.000</w:t>
            </w: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EU-s forrásból finansz. önk. hozzájárulása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Támogatásértékű bevételek</w:t>
            </w:r>
          </w:p>
        </w:tc>
        <w:tc>
          <w:tcPr>
            <w:tcW w:w="1071" w:type="dxa"/>
          </w:tcPr>
          <w:p w:rsidR="00CE51CF" w:rsidRPr="00AD37E9" w:rsidRDefault="000D0494" w:rsidP="00CE51CF">
            <w:pPr>
              <w:jc w:val="right"/>
            </w:pPr>
            <w:r>
              <w:t>4.687</w:t>
            </w: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  <w:r>
              <w:t>4.687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907924" w:rsidP="00CE51CF">
            <w:pPr>
              <w:jc w:val="right"/>
            </w:pPr>
            <w:r>
              <w:t>3.586</w:t>
            </w: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Egyéb felhalmozási célú kiadások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Átvett pénzeszközök államháztartáson kívülről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Tartalékok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Pr="00AD37E9" w:rsidRDefault="00CE51CF" w:rsidP="00CE51CF">
            <w:r>
              <w:t>EU-s támogatásból származó forrás</w:t>
            </w:r>
          </w:p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/>
        </w:tc>
      </w:tr>
      <w:tr w:rsidR="00CE51CF" w:rsidRPr="00AD37E9">
        <w:trPr>
          <w:trHeight w:val="165"/>
        </w:trPr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0D0494" w:rsidP="00CE51CF">
            <w:pPr>
              <w:jc w:val="right"/>
              <w:rPr>
                <w:b/>
              </w:rPr>
            </w:pPr>
            <w:r>
              <w:rPr>
                <w:b/>
              </w:rPr>
              <w:t>4.707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  <w:r>
              <w:rPr>
                <w:b/>
              </w:rPr>
              <w:t>6.707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907924" w:rsidP="00CE51CF">
            <w:pPr>
              <w:jc w:val="right"/>
              <w:rPr>
                <w:b/>
              </w:rPr>
            </w:pPr>
            <w:r>
              <w:rPr>
                <w:b/>
              </w:rPr>
              <w:t>5.616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A6214" w:rsidRDefault="000D0494" w:rsidP="00CE51CF">
            <w:pPr>
              <w:jc w:val="right"/>
              <w:rPr>
                <w:b/>
              </w:rPr>
            </w:pPr>
            <w:r>
              <w:rPr>
                <w:b/>
              </w:rPr>
              <w:t>4.839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A6214" w:rsidRDefault="00CE51CF" w:rsidP="00CE51CF">
            <w:pPr>
              <w:jc w:val="right"/>
              <w:rPr>
                <w:b/>
              </w:rPr>
            </w:pPr>
            <w:r>
              <w:rPr>
                <w:b/>
              </w:rPr>
              <w:t>6.919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A6214" w:rsidRDefault="00A1310D" w:rsidP="00CE51CF">
            <w:pPr>
              <w:jc w:val="right"/>
              <w:rPr>
                <w:b/>
              </w:rPr>
            </w:pPr>
            <w:r>
              <w:rPr>
                <w:b/>
              </w:rPr>
              <w:t>7.189</w:t>
            </w:r>
          </w:p>
        </w:tc>
      </w:tr>
      <w:tr w:rsidR="00CE51CF" w:rsidRPr="00AD37E9">
        <w:trPr>
          <w:trHeight w:val="60"/>
        </w:trPr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71" w:type="dxa"/>
            <w:tcBorders>
              <w:top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62" w:type="dxa"/>
            <w:tcBorders>
              <w:top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E51CF" w:rsidRDefault="00CE51CF" w:rsidP="00CE51CF"/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/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 xml:space="preserve">Előző évi </w:t>
            </w:r>
            <w:r>
              <w:rPr>
                <w:b/>
              </w:rPr>
              <w:t xml:space="preserve">felhalm. </w:t>
            </w:r>
            <w:r w:rsidRPr="00053A41">
              <w:rPr>
                <w:b/>
              </w:rPr>
              <w:t xml:space="preserve"> célú pénzmaradvány ig</w:t>
            </w:r>
            <w:r>
              <w:rPr>
                <w:b/>
              </w:rPr>
              <w:t>.</w:t>
            </w:r>
          </w:p>
        </w:tc>
        <w:tc>
          <w:tcPr>
            <w:tcW w:w="1071" w:type="dxa"/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62" w:type="dxa"/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Értékpapír vásárlása, visszavásárlása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Hitelek törlesztése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 w:rsidRPr="00AD37E9">
              <w:t>Értékpapír kibocsátása, értékesítése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Rövid lejáratú hitel törlesztése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Rövid lejáratú hitelek felvétele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Hosszú lejáratú hitel törlesztése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 w:rsidRPr="00AD37E9">
              <w:t>H</w:t>
            </w:r>
            <w:r>
              <w:t>osszú lejáratú h</w:t>
            </w:r>
            <w:r w:rsidRPr="00AD37E9">
              <w:t>itelek felvétele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Kölcsön törlesztése, adott kölcsön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 w:rsidRPr="00AD37E9">
              <w:t>Kapott kölcsön, nyújtott kölcsön visszatérülése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Befektetési célú belf.,külf. értékpapírok vás.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Bef.</w:t>
            </w:r>
            <w:r w:rsidRPr="00AD37E9">
              <w:t xml:space="preserve"> célú belf., külf. értékpapírok kibocsátása, ért.</w:t>
            </w:r>
          </w:p>
        </w:tc>
        <w:tc>
          <w:tcPr>
            <w:tcW w:w="107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6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Betét elhelyezése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 w:rsidRPr="00AD37E9">
              <w:t>Betét visszavonásából származó bevétel</w:t>
            </w:r>
          </w:p>
        </w:tc>
        <w:tc>
          <w:tcPr>
            <w:tcW w:w="1071" w:type="dxa"/>
          </w:tcPr>
          <w:p w:rsidR="00CE51CF" w:rsidRPr="00AD37E9" w:rsidRDefault="00CE51CF" w:rsidP="00CE51CF"/>
        </w:tc>
        <w:tc>
          <w:tcPr>
            <w:tcW w:w="962" w:type="dxa"/>
          </w:tcPr>
          <w:p w:rsidR="00CE51CF" w:rsidRPr="00AD37E9" w:rsidRDefault="00CE51CF" w:rsidP="00CE51CF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>
              <w:t>Egyéb hitel, kölcsön kiadásai</w:t>
            </w:r>
          </w:p>
        </w:tc>
        <w:tc>
          <w:tcPr>
            <w:tcW w:w="1072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CE51CF" w:rsidRPr="00AD37E9" w:rsidRDefault="00CE51CF" w:rsidP="00CE51CF">
            <w:r w:rsidRPr="00AD37E9">
              <w:t xml:space="preserve">Egyéb </w:t>
            </w:r>
            <w:r>
              <w:t>felhalmozási</w:t>
            </w:r>
            <w:r w:rsidRPr="00AD37E9">
              <w:t xml:space="preserve"> finanszírozási célú bevétel</w:t>
            </w:r>
          </w:p>
        </w:tc>
        <w:tc>
          <w:tcPr>
            <w:tcW w:w="1071" w:type="dxa"/>
          </w:tcPr>
          <w:p w:rsidR="00CE51CF" w:rsidRPr="00AD37E9" w:rsidRDefault="00CE51CF" w:rsidP="00CE51CF"/>
        </w:tc>
        <w:tc>
          <w:tcPr>
            <w:tcW w:w="962" w:type="dxa"/>
          </w:tcPr>
          <w:p w:rsidR="00CE51CF" w:rsidRPr="00AD37E9" w:rsidRDefault="00CE51CF" w:rsidP="00CE51CF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72" w:type="dxa"/>
          </w:tcPr>
          <w:p w:rsidR="00CE51CF" w:rsidRPr="00AD37E9" w:rsidRDefault="00CE51CF" w:rsidP="00CE51CF"/>
        </w:tc>
        <w:tc>
          <w:tcPr>
            <w:tcW w:w="1011" w:type="dxa"/>
          </w:tcPr>
          <w:p w:rsidR="00CE51CF" w:rsidRPr="00AD37E9" w:rsidRDefault="00CE51CF" w:rsidP="00CE51CF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CE51CF" w:rsidRPr="00AD37E9" w:rsidRDefault="00CE51CF" w:rsidP="00CE51CF"/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Default="00CE51CF" w:rsidP="00CE51CF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CE51CF" w:rsidRPr="00AD37E9" w:rsidRDefault="00CE51CF" w:rsidP="00CE51CF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/>
        </w:tc>
      </w:tr>
      <w:tr w:rsidR="00CE51CF" w:rsidRPr="00053A41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</w:tr>
      <w:tr w:rsidR="00CE51CF" w:rsidRPr="00AD37E9">
        <w:trPr>
          <w:trHeight w:val="357"/>
        </w:trPr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</w:p>
        </w:tc>
      </w:tr>
      <w:tr w:rsidR="00CE51CF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3974EC" w:rsidRDefault="000D0494" w:rsidP="00CE51CF">
            <w:pPr>
              <w:jc w:val="right"/>
              <w:rPr>
                <w:b/>
              </w:rPr>
            </w:pPr>
            <w:r>
              <w:rPr>
                <w:b/>
              </w:rPr>
              <w:t>4.707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3974EC" w:rsidRDefault="00CE51CF" w:rsidP="00CE51CF">
            <w:pPr>
              <w:jc w:val="right"/>
              <w:rPr>
                <w:b/>
              </w:rPr>
            </w:pPr>
            <w:r>
              <w:rPr>
                <w:b/>
              </w:rPr>
              <w:t>6.707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3974EC" w:rsidRDefault="00CE51CF" w:rsidP="00CE51CF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655048" w:rsidRDefault="000D0494" w:rsidP="00CE51CF">
            <w:pPr>
              <w:jc w:val="right"/>
              <w:rPr>
                <w:b/>
              </w:rPr>
            </w:pPr>
            <w:r>
              <w:rPr>
                <w:b/>
              </w:rPr>
              <w:t>4.839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51CF" w:rsidRPr="00655048" w:rsidRDefault="00CE51CF" w:rsidP="00CE51CF">
            <w:pPr>
              <w:jc w:val="right"/>
              <w:rPr>
                <w:b/>
              </w:rPr>
            </w:pPr>
            <w:r>
              <w:rPr>
                <w:b/>
              </w:rPr>
              <w:t>6.919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51CF" w:rsidRPr="00655048" w:rsidRDefault="00A1310D" w:rsidP="00CE51CF">
            <w:pPr>
              <w:jc w:val="right"/>
              <w:rPr>
                <w:b/>
              </w:rPr>
            </w:pPr>
            <w:r>
              <w:rPr>
                <w:b/>
              </w:rPr>
              <w:t>7.189</w:t>
            </w:r>
          </w:p>
        </w:tc>
      </w:tr>
      <w:tr w:rsidR="00CE51CF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CE51CF" w:rsidRPr="00053A41" w:rsidRDefault="000D0494" w:rsidP="00CE51CF">
            <w:pPr>
              <w:jc w:val="right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CE51CF" w:rsidRPr="00053A41" w:rsidRDefault="00CE51CF" w:rsidP="00CE51CF">
            <w:pPr>
              <w:jc w:val="right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053A41" w:rsidRDefault="00907924" w:rsidP="00CE51CF">
            <w:pPr>
              <w:jc w:val="right"/>
              <w:rPr>
                <w:b/>
              </w:rPr>
            </w:pPr>
            <w:r>
              <w:rPr>
                <w:b/>
              </w:rPr>
              <w:t>1.573</w:t>
            </w:r>
          </w:p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51CF" w:rsidRPr="00053A41" w:rsidRDefault="00CE51CF" w:rsidP="00CE51CF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E51CF" w:rsidRPr="00AD37E9" w:rsidRDefault="00CE51CF" w:rsidP="00CE51CF">
            <w:pPr>
              <w:jc w:val="right"/>
            </w:pPr>
          </w:p>
        </w:tc>
      </w:tr>
    </w:tbl>
    <w:p w:rsidR="004853EA" w:rsidRDefault="004853EA" w:rsidP="004853EA">
      <w:pPr>
        <w:jc w:val="right"/>
        <w:rPr>
          <w:i/>
        </w:rPr>
        <w:sectPr w:rsidR="004853EA" w:rsidSect="004853E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87E51" w:rsidRDefault="00187E51" w:rsidP="00187E51">
      <w:pPr>
        <w:jc w:val="right"/>
        <w:rPr>
          <w:i/>
        </w:rPr>
      </w:pPr>
      <w:r>
        <w:rPr>
          <w:i/>
        </w:rPr>
        <w:lastRenderedPageBreak/>
        <w:t xml:space="preserve">3. sz. melléklet </w:t>
      </w:r>
      <w:r w:rsidR="00954D04">
        <w:rPr>
          <w:i/>
        </w:rPr>
        <w:t xml:space="preserve">a </w:t>
      </w:r>
      <w:r w:rsidR="00954D04">
        <w:rPr>
          <w:i/>
          <w:sz w:val="18"/>
          <w:szCs w:val="18"/>
        </w:rPr>
        <w:t>6</w:t>
      </w:r>
      <w:r w:rsidR="00954D04" w:rsidRPr="003044CA">
        <w:rPr>
          <w:i/>
          <w:sz w:val="18"/>
          <w:szCs w:val="18"/>
        </w:rPr>
        <w:t>/201</w:t>
      </w:r>
      <w:r w:rsidR="00954D04">
        <w:rPr>
          <w:i/>
          <w:sz w:val="18"/>
          <w:szCs w:val="18"/>
        </w:rPr>
        <w:t>3</w:t>
      </w:r>
      <w:r w:rsidR="00954D04" w:rsidRPr="003044CA">
        <w:rPr>
          <w:i/>
          <w:sz w:val="18"/>
          <w:szCs w:val="18"/>
        </w:rPr>
        <w:t>.(</w:t>
      </w:r>
      <w:r w:rsidR="00954D04">
        <w:rPr>
          <w:i/>
          <w:sz w:val="18"/>
          <w:szCs w:val="18"/>
        </w:rPr>
        <w:t>V.17.</w:t>
      </w:r>
      <w:r w:rsidR="00954D04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>önkormányzati rendelethez</w:t>
      </w:r>
    </w:p>
    <w:p w:rsidR="00187E51" w:rsidRDefault="00187E51" w:rsidP="00187E51">
      <w:pPr>
        <w:jc w:val="right"/>
        <w:rPr>
          <w:i/>
        </w:rPr>
      </w:pPr>
    </w:p>
    <w:p w:rsidR="00907924" w:rsidRPr="00907924" w:rsidRDefault="00907924" w:rsidP="00907924">
      <w:pPr>
        <w:jc w:val="center"/>
        <w:rPr>
          <w:b/>
          <w:sz w:val="22"/>
          <w:szCs w:val="22"/>
        </w:rPr>
      </w:pPr>
      <w:r w:rsidRPr="00907924">
        <w:rPr>
          <w:b/>
          <w:sz w:val="22"/>
          <w:szCs w:val="22"/>
        </w:rPr>
        <w:t>Az önkormányzat 2012. évi kiadásai feladatonként, kiemelt előirányzatonként</w:t>
      </w:r>
    </w:p>
    <w:p w:rsidR="00907924" w:rsidRPr="00907924" w:rsidRDefault="00907924" w:rsidP="00907924">
      <w:pPr>
        <w:jc w:val="center"/>
        <w:rPr>
          <w:b/>
          <w:sz w:val="22"/>
          <w:szCs w:val="22"/>
        </w:rPr>
      </w:pPr>
    </w:p>
    <w:p w:rsidR="00907924" w:rsidRDefault="00907924" w:rsidP="00907924">
      <w:pPr>
        <w:jc w:val="center"/>
        <w:rPr>
          <w:b/>
        </w:rPr>
      </w:pPr>
    </w:p>
    <w:p w:rsidR="00187E51" w:rsidRDefault="00187E51" w:rsidP="00187E51">
      <w:pPr>
        <w:jc w:val="right"/>
        <w:rPr>
          <w:i/>
        </w:rPr>
      </w:pPr>
    </w:p>
    <w:p w:rsidR="00187E51" w:rsidRDefault="00187E51" w:rsidP="00187E51">
      <w:pPr>
        <w:jc w:val="right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Rcsostblzat"/>
        <w:tblpPr w:leftFromText="141" w:rightFromText="141" w:horzAnchor="margin" w:tblpY="922"/>
        <w:tblW w:w="0" w:type="auto"/>
        <w:tblLook w:val="01E0"/>
      </w:tblPr>
      <w:tblGrid>
        <w:gridCol w:w="5184"/>
        <w:gridCol w:w="1392"/>
        <w:gridCol w:w="1356"/>
        <w:gridCol w:w="1356"/>
      </w:tblGrid>
      <w:tr w:rsidR="00907924" w:rsidRPr="006F5187">
        <w:tc>
          <w:tcPr>
            <w:tcW w:w="5184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392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Eredeti elői.</w:t>
            </w:r>
          </w:p>
        </w:tc>
        <w:tc>
          <w:tcPr>
            <w:tcW w:w="1356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Mód. elői.</w:t>
            </w:r>
          </w:p>
        </w:tc>
        <w:tc>
          <w:tcPr>
            <w:tcW w:w="1356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Teljesítés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1. Önkormányzat Hivatala</w:t>
            </w:r>
          </w:p>
        </w:tc>
        <w:tc>
          <w:tcPr>
            <w:tcW w:w="1392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D52E20">
            <w:pPr>
              <w:rPr>
                <w:b/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2.059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2.059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2.062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3.789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3.789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4.058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2.249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2.275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2.194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ÁHT-n kívülre működési célú kiadás </w:t>
            </w:r>
          </w:p>
        </w:tc>
        <w:tc>
          <w:tcPr>
            <w:tcW w:w="1392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07924" w:rsidRPr="006F5187">
        <w:trPr>
          <w:trHeight w:val="285"/>
        </w:trPr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Tartalékok</w:t>
            </w:r>
          </w:p>
        </w:tc>
        <w:tc>
          <w:tcPr>
            <w:tcW w:w="1392" w:type="dxa"/>
          </w:tcPr>
          <w:p w:rsidR="00907924" w:rsidRPr="0052526E" w:rsidRDefault="00907924" w:rsidP="00907924">
            <w:pPr>
              <w:jc w:val="right"/>
              <w:rPr>
                <w:sz w:val="22"/>
                <w:szCs w:val="22"/>
              </w:rPr>
            </w:pPr>
            <w:r w:rsidRPr="0052526E">
              <w:rPr>
                <w:sz w:val="22"/>
                <w:szCs w:val="22"/>
              </w:rPr>
              <w:t>484</w:t>
            </w:r>
          </w:p>
        </w:tc>
        <w:tc>
          <w:tcPr>
            <w:tcW w:w="1356" w:type="dxa"/>
          </w:tcPr>
          <w:p w:rsidR="00907924" w:rsidRPr="0052526E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356" w:type="dxa"/>
          </w:tcPr>
          <w:p w:rsidR="00907924" w:rsidRPr="0052526E" w:rsidRDefault="00907924" w:rsidP="00907924">
            <w:pPr>
              <w:jc w:val="right"/>
              <w:rPr>
                <w:sz w:val="22"/>
                <w:szCs w:val="22"/>
              </w:rPr>
            </w:pPr>
          </w:p>
        </w:tc>
      </w:tr>
      <w:tr w:rsidR="00907924" w:rsidRPr="006F5187">
        <w:trPr>
          <w:trHeight w:val="210"/>
        </w:trPr>
        <w:tc>
          <w:tcPr>
            <w:tcW w:w="5184" w:type="dxa"/>
          </w:tcPr>
          <w:p w:rsidR="00907924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9.851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9.684</w:t>
            </w:r>
          </w:p>
        </w:tc>
        <w:tc>
          <w:tcPr>
            <w:tcW w:w="1356" w:type="dxa"/>
          </w:tcPr>
          <w:p w:rsidR="00907924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9.062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2. Községgazdálkodás</w:t>
            </w:r>
            <w:r>
              <w:rPr>
                <w:b/>
                <w:sz w:val="22"/>
                <w:szCs w:val="22"/>
              </w:rPr>
              <w:t>, közfoglalkoztatás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</w:tr>
      <w:tr w:rsidR="00907924" w:rsidRPr="006F5187">
        <w:trPr>
          <w:trHeight w:val="240"/>
        </w:trPr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3.131</w:t>
            </w:r>
          </w:p>
        </w:tc>
      </w:tr>
      <w:tr w:rsidR="00907924" w:rsidRPr="006F5187">
        <w:trPr>
          <w:trHeight w:val="270"/>
        </w:trPr>
        <w:tc>
          <w:tcPr>
            <w:tcW w:w="5184" w:type="dxa"/>
          </w:tcPr>
          <w:p w:rsidR="00907924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4.050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3.947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1.572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1.573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2.722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2.776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2.587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4. Közösségi Színtér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92752" w:rsidRPr="006F5187">
        <w:tc>
          <w:tcPr>
            <w:tcW w:w="5184" w:type="dxa"/>
          </w:tcPr>
          <w:p w:rsidR="00592752" w:rsidRPr="00592752" w:rsidRDefault="00592752" w:rsidP="00907924">
            <w:pPr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Személyi juttatások</w:t>
            </w:r>
          </w:p>
        </w:tc>
        <w:tc>
          <w:tcPr>
            <w:tcW w:w="1392" w:type="dxa"/>
          </w:tcPr>
          <w:p w:rsidR="00592752" w:rsidRDefault="00592752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592752" w:rsidRDefault="00592752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592752" w:rsidRPr="00592752" w:rsidRDefault="00592752" w:rsidP="00907924">
            <w:pPr>
              <w:jc w:val="right"/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3</w:t>
            </w:r>
          </w:p>
        </w:tc>
      </w:tr>
      <w:tr w:rsidR="00592752" w:rsidRPr="006F5187">
        <w:tc>
          <w:tcPr>
            <w:tcW w:w="5184" w:type="dxa"/>
          </w:tcPr>
          <w:p w:rsidR="00592752" w:rsidRPr="00592752" w:rsidRDefault="00592752" w:rsidP="00907924">
            <w:pPr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592752" w:rsidRPr="00592752" w:rsidRDefault="00592752" w:rsidP="00907924">
            <w:pPr>
              <w:jc w:val="right"/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980</w:t>
            </w:r>
          </w:p>
        </w:tc>
        <w:tc>
          <w:tcPr>
            <w:tcW w:w="1356" w:type="dxa"/>
          </w:tcPr>
          <w:p w:rsidR="00592752" w:rsidRPr="00592752" w:rsidRDefault="00592752" w:rsidP="00907924">
            <w:pPr>
              <w:jc w:val="right"/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1.230</w:t>
            </w:r>
          </w:p>
        </w:tc>
        <w:tc>
          <w:tcPr>
            <w:tcW w:w="1356" w:type="dxa"/>
          </w:tcPr>
          <w:p w:rsidR="00592752" w:rsidRPr="00592752" w:rsidRDefault="00592752" w:rsidP="00907924">
            <w:pPr>
              <w:jc w:val="right"/>
              <w:rPr>
                <w:sz w:val="22"/>
                <w:szCs w:val="22"/>
              </w:rPr>
            </w:pPr>
            <w:r w:rsidRPr="00592752">
              <w:rPr>
                <w:sz w:val="22"/>
                <w:szCs w:val="22"/>
              </w:rPr>
              <w:t>724</w:t>
            </w:r>
          </w:p>
        </w:tc>
      </w:tr>
      <w:tr w:rsidR="00592752" w:rsidRPr="006F5187">
        <w:tc>
          <w:tcPr>
            <w:tcW w:w="5184" w:type="dxa"/>
          </w:tcPr>
          <w:p w:rsidR="00592752" w:rsidRDefault="00592752" w:rsidP="009079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592752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356" w:type="dxa"/>
          </w:tcPr>
          <w:p w:rsidR="00592752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1.230</w:t>
            </w:r>
          </w:p>
        </w:tc>
        <w:tc>
          <w:tcPr>
            <w:tcW w:w="1356" w:type="dxa"/>
          </w:tcPr>
          <w:p w:rsidR="00592752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727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5. Köztemető fenntartás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26E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6. Közvilágítás </w:t>
            </w: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Társadalom- és szoc. pol. juttatások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1.617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1.791</w:t>
            </w:r>
          </w:p>
        </w:tc>
        <w:tc>
          <w:tcPr>
            <w:tcW w:w="1356" w:type="dxa"/>
          </w:tcPr>
          <w:p w:rsidR="00907924" w:rsidRDefault="00FA0D60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1.586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1.638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1.812</w:t>
            </w:r>
          </w:p>
        </w:tc>
        <w:tc>
          <w:tcPr>
            <w:tcW w:w="1356" w:type="dxa"/>
          </w:tcPr>
          <w:p w:rsidR="00907924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1.607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sz w:val="22"/>
                <w:szCs w:val="22"/>
              </w:rPr>
            </w:pP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</w:t>
            </w:r>
          </w:p>
        </w:tc>
        <w:tc>
          <w:tcPr>
            <w:tcW w:w="1356" w:type="dxa"/>
          </w:tcPr>
          <w:p w:rsidR="00907924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9.Alapfokú oktatás </w:t>
            </w: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</w:tr>
      <w:tr w:rsidR="00907924" w:rsidRPr="006F5187">
        <w:tc>
          <w:tcPr>
            <w:tcW w:w="5184" w:type="dxa"/>
          </w:tcPr>
          <w:p w:rsidR="00907924" w:rsidRPr="006F5187" w:rsidRDefault="00907924" w:rsidP="00907924">
            <w:pPr>
              <w:rPr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10. Háziorvosi rendelő</w:t>
            </w:r>
            <w:r w:rsidRPr="006F5187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6" w:type="dxa"/>
          </w:tcPr>
          <w:p w:rsidR="00907924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</w:tr>
      <w:tr w:rsidR="00907924" w:rsidRPr="006F5187">
        <w:tc>
          <w:tcPr>
            <w:tcW w:w="5184" w:type="dxa"/>
          </w:tcPr>
          <w:p w:rsidR="00907924" w:rsidRDefault="00907924" w:rsidP="009079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392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19.085</w:t>
            </w:r>
          </w:p>
        </w:tc>
        <w:tc>
          <w:tcPr>
            <w:tcW w:w="1356" w:type="dxa"/>
          </w:tcPr>
          <w:p w:rsidR="00907924" w:rsidRPr="006F5187" w:rsidRDefault="00907924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21.476</w:t>
            </w:r>
          </w:p>
        </w:tc>
        <w:tc>
          <w:tcPr>
            <w:tcW w:w="1356" w:type="dxa"/>
          </w:tcPr>
          <w:p w:rsidR="00907924" w:rsidRDefault="00592752" w:rsidP="009079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19.288</w:t>
            </w:r>
          </w:p>
        </w:tc>
      </w:tr>
    </w:tbl>
    <w:p w:rsidR="00187E51" w:rsidRDefault="00187E51" w:rsidP="004853EA">
      <w:pPr>
        <w:jc w:val="center"/>
        <w:rPr>
          <w:b/>
        </w:rPr>
      </w:pPr>
    </w:p>
    <w:p w:rsidR="000655A4" w:rsidRDefault="000655A4" w:rsidP="006C73EC"/>
    <w:sectPr w:rsidR="000655A4" w:rsidSect="0055213D">
      <w:headerReference w:type="even" r:id="rId9"/>
      <w:headerReference w:type="default" r:id="rId10"/>
      <w:pgSz w:w="11906" w:h="16838"/>
      <w:pgMar w:top="1560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B" w:rsidRDefault="000277AB">
      <w:r>
        <w:separator/>
      </w:r>
    </w:p>
  </w:endnote>
  <w:endnote w:type="continuationSeparator" w:id="0">
    <w:p w:rsidR="000277AB" w:rsidRDefault="0002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B" w:rsidRDefault="000277AB">
      <w:r>
        <w:separator/>
      </w:r>
    </w:p>
  </w:footnote>
  <w:footnote w:type="continuationSeparator" w:id="0">
    <w:p w:rsidR="000277AB" w:rsidRDefault="00027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A" w:rsidRDefault="00B2163A" w:rsidP="004853E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2163A" w:rsidRDefault="00B2163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A" w:rsidRDefault="00B2163A" w:rsidP="004853E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336E8">
      <w:rPr>
        <w:rStyle w:val="Oldalszm"/>
        <w:noProof/>
      </w:rPr>
      <w:t>4</w:t>
    </w:r>
    <w:r>
      <w:rPr>
        <w:rStyle w:val="Oldalszm"/>
      </w:rPr>
      <w:fldChar w:fldCharType="end"/>
    </w:r>
  </w:p>
  <w:p w:rsidR="00B2163A" w:rsidRDefault="00B2163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A" w:rsidRDefault="00B2163A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2163A" w:rsidRDefault="00B2163A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A" w:rsidRDefault="00B2163A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B2163A" w:rsidRDefault="00B2163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921"/>
    <w:multiLevelType w:val="hybridMultilevel"/>
    <w:tmpl w:val="24A2AD2E"/>
    <w:lvl w:ilvl="0" w:tplc="527249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54981"/>
    <w:multiLevelType w:val="multilevel"/>
    <w:tmpl w:val="88942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82C04"/>
    <w:multiLevelType w:val="hybridMultilevel"/>
    <w:tmpl w:val="B0541E4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F21E0"/>
    <w:multiLevelType w:val="multilevel"/>
    <w:tmpl w:val="CE1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E4D5B"/>
    <w:multiLevelType w:val="hybridMultilevel"/>
    <w:tmpl w:val="A8CE685C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B4F18"/>
    <w:multiLevelType w:val="hybridMultilevel"/>
    <w:tmpl w:val="B22AA2D6"/>
    <w:lvl w:ilvl="0" w:tplc="C65401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1E60EBC"/>
    <w:multiLevelType w:val="hybridMultilevel"/>
    <w:tmpl w:val="889423D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54465"/>
    <w:multiLevelType w:val="hybridMultilevel"/>
    <w:tmpl w:val="4C62B192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C048A"/>
    <w:multiLevelType w:val="hybridMultilevel"/>
    <w:tmpl w:val="C1CEB68C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286"/>
    <w:rsid w:val="00001A19"/>
    <w:rsid w:val="00002835"/>
    <w:rsid w:val="00007A2A"/>
    <w:rsid w:val="000103E2"/>
    <w:rsid w:val="00020703"/>
    <w:rsid w:val="00021B2A"/>
    <w:rsid w:val="000277AB"/>
    <w:rsid w:val="00031A45"/>
    <w:rsid w:val="00032A08"/>
    <w:rsid w:val="00033DF4"/>
    <w:rsid w:val="000501C8"/>
    <w:rsid w:val="00053FEB"/>
    <w:rsid w:val="0006191A"/>
    <w:rsid w:val="00063294"/>
    <w:rsid w:val="00064D15"/>
    <w:rsid w:val="000655A4"/>
    <w:rsid w:val="00067929"/>
    <w:rsid w:val="000733F3"/>
    <w:rsid w:val="000C7946"/>
    <w:rsid w:val="000D0494"/>
    <w:rsid w:val="001018AC"/>
    <w:rsid w:val="00106B3C"/>
    <w:rsid w:val="0011000C"/>
    <w:rsid w:val="00121ABA"/>
    <w:rsid w:val="001273CA"/>
    <w:rsid w:val="00132234"/>
    <w:rsid w:val="001434E4"/>
    <w:rsid w:val="00147217"/>
    <w:rsid w:val="001524CE"/>
    <w:rsid w:val="00167753"/>
    <w:rsid w:val="00171426"/>
    <w:rsid w:val="0017187F"/>
    <w:rsid w:val="00187817"/>
    <w:rsid w:val="00187E51"/>
    <w:rsid w:val="001B3307"/>
    <w:rsid w:val="001C4ADF"/>
    <w:rsid w:val="001C4B40"/>
    <w:rsid w:val="001D1ABA"/>
    <w:rsid w:val="001D22A4"/>
    <w:rsid w:val="001D74D2"/>
    <w:rsid w:val="001D7C5D"/>
    <w:rsid w:val="001E0717"/>
    <w:rsid w:val="001E68AE"/>
    <w:rsid w:val="0021420A"/>
    <w:rsid w:val="00222EFC"/>
    <w:rsid w:val="0022498E"/>
    <w:rsid w:val="00225CB1"/>
    <w:rsid w:val="002266DF"/>
    <w:rsid w:val="00241896"/>
    <w:rsid w:val="00242157"/>
    <w:rsid w:val="0024289E"/>
    <w:rsid w:val="0024519E"/>
    <w:rsid w:val="00245286"/>
    <w:rsid w:val="002460EF"/>
    <w:rsid w:val="002770A1"/>
    <w:rsid w:val="00285D39"/>
    <w:rsid w:val="00297BA4"/>
    <w:rsid w:val="002C194D"/>
    <w:rsid w:val="002C5E0D"/>
    <w:rsid w:val="002C7CF0"/>
    <w:rsid w:val="002E2CA3"/>
    <w:rsid w:val="002E4BCD"/>
    <w:rsid w:val="002E5FA4"/>
    <w:rsid w:val="002F37CC"/>
    <w:rsid w:val="00301A14"/>
    <w:rsid w:val="0030327C"/>
    <w:rsid w:val="003249F9"/>
    <w:rsid w:val="003270AD"/>
    <w:rsid w:val="00332A2D"/>
    <w:rsid w:val="00345292"/>
    <w:rsid w:val="00387A75"/>
    <w:rsid w:val="00392573"/>
    <w:rsid w:val="003968D8"/>
    <w:rsid w:val="003D6804"/>
    <w:rsid w:val="003E15BA"/>
    <w:rsid w:val="003E711E"/>
    <w:rsid w:val="003F1819"/>
    <w:rsid w:val="00412409"/>
    <w:rsid w:val="00412F2E"/>
    <w:rsid w:val="004301B8"/>
    <w:rsid w:val="00437ABB"/>
    <w:rsid w:val="004602A2"/>
    <w:rsid w:val="004622D4"/>
    <w:rsid w:val="004719AA"/>
    <w:rsid w:val="00475506"/>
    <w:rsid w:val="00477B56"/>
    <w:rsid w:val="00482EF3"/>
    <w:rsid w:val="00484813"/>
    <w:rsid w:val="004853EA"/>
    <w:rsid w:val="004B5E58"/>
    <w:rsid w:val="004B70E4"/>
    <w:rsid w:val="004E7759"/>
    <w:rsid w:val="004F5902"/>
    <w:rsid w:val="0050518B"/>
    <w:rsid w:val="0051378A"/>
    <w:rsid w:val="00526322"/>
    <w:rsid w:val="00530BAC"/>
    <w:rsid w:val="00535813"/>
    <w:rsid w:val="005370F5"/>
    <w:rsid w:val="005456DA"/>
    <w:rsid w:val="0055213D"/>
    <w:rsid w:val="00570E16"/>
    <w:rsid w:val="005712FB"/>
    <w:rsid w:val="00574E68"/>
    <w:rsid w:val="00592156"/>
    <w:rsid w:val="00592752"/>
    <w:rsid w:val="00596536"/>
    <w:rsid w:val="005A10C5"/>
    <w:rsid w:val="005D0038"/>
    <w:rsid w:val="005D6463"/>
    <w:rsid w:val="005E7544"/>
    <w:rsid w:val="005F2F96"/>
    <w:rsid w:val="005F50AD"/>
    <w:rsid w:val="005F7194"/>
    <w:rsid w:val="00611A05"/>
    <w:rsid w:val="00612840"/>
    <w:rsid w:val="00620682"/>
    <w:rsid w:val="00641932"/>
    <w:rsid w:val="00644F03"/>
    <w:rsid w:val="00645FE3"/>
    <w:rsid w:val="00645FF2"/>
    <w:rsid w:val="00655D6F"/>
    <w:rsid w:val="00667603"/>
    <w:rsid w:val="00673730"/>
    <w:rsid w:val="006833CD"/>
    <w:rsid w:val="006876CA"/>
    <w:rsid w:val="00693444"/>
    <w:rsid w:val="006B541D"/>
    <w:rsid w:val="006C4A13"/>
    <w:rsid w:val="006C73EC"/>
    <w:rsid w:val="006D425F"/>
    <w:rsid w:val="00704F61"/>
    <w:rsid w:val="00712AF7"/>
    <w:rsid w:val="007336DE"/>
    <w:rsid w:val="0073598D"/>
    <w:rsid w:val="007403BF"/>
    <w:rsid w:val="007461C8"/>
    <w:rsid w:val="00746431"/>
    <w:rsid w:val="0075661F"/>
    <w:rsid w:val="00762EE4"/>
    <w:rsid w:val="0078065F"/>
    <w:rsid w:val="007903C3"/>
    <w:rsid w:val="007A4E5F"/>
    <w:rsid w:val="007B6A6B"/>
    <w:rsid w:val="007C199D"/>
    <w:rsid w:val="007E1D84"/>
    <w:rsid w:val="007F7612"/>
    <w:rsid w:val="00807AF6"/>
    <w:rsid w:val="00827E4B"/>
    <w:rsid w:val="00840FDC"/>
    <w:rsid w:val="00844209"/>
    <w:rsid w:val="00850FFD"/>
    <w:rsid w:val="00863722"/>
    <w:rsid w:val="008739CA"/>
    <w:rsid w:val="00875607"/>
    <w:rsid w:val="008923DA"/>
    <w:rsid w:val="008966AD"/>
    <w:rsid w:val="008B24DC"/>
    <w:rsid w:val="008D6214"/>
    <w:rsid w:val="008E62DB"/>
    <w:rsid w:val="008F7C3D"/>
    <w:rsid w:val="00907924"/>
    <w:rsid w:val="00914AEE"/>
    <w:rsid w:val="00914C9B"/>
    <w:rsid w:val="009318F1"/>
    <w:rsid w:val="00940E2E"/>
    <w:rsid w:val="00942653"/>
    <w:rsid w:val="0094781D"/>
    <w:rsid w:val="00954D04"/>
    <w:rsid w:val="00966CF4"/>
    <w:rsid w:val="009A118C"/>
    <w:rsid w:val="009A2213"/>
    <w:rsid w:val="009A3B36"/>
    <w:rsid w:val="009C09DC"/>
    <w:rsid w:val="009C2FE3"/>
    <w:rsid w:val="009E56B8"/>
    <w:rsid w:val="009F6041"/>
    <w:rsid w:val="009F7159"/>
    <w:rsid w:val="00A1310D"/>
    <w:rsid w:val="00A2092A"/>
    <w:rsid w:val="00A322D9"/>
    <w:rsid w:val="00A929F9"/>
    <w:rsid w:val="00A97529"/>
    <w:rsid w:val="00AD4008"/>
    <w:rsid w:val="00AE1FDC"/>
    <w:rsid w:val="00AE2475"/>
    <w:rsid w:val="00AF7E31"/>
    <w:rsid w:val="00B1179F"/>
    <w:rsid w:val="00B2163A"/>
    <w:rsid w:val="00B50BC4"/>
    <w:rsid w:val="00B71177"/>
    <w:rsid w:val="00B73FCB"/>
    <w:rsid w:val="00B757DF"/>
    <w:rsid w:val="00B76BD0"/>
    <w:rsid w:val="00B860BD"/>
    <w:rsid w:val="00B900A1"/>
    <w:rsid w:val="00B95946"/>
    <w:rsid w:val="00BC0734"/>
    <w:rsid w:val="00BF05FE"/>
    <w:rsid w:val="00C04BBB"/>
    <w:rsid w:val="00C07AB2"/>
    <w:rsid w:val="00C164A6"/>
    <w:rsid w:val="00C34E2B"/>
    <w:rsid w:val="00C541C3"/>
    <w:rsid w:val="00C6114B"/>
    <w:rsid w:val="00C7744E"/>
    <w:rsid w:val="00C90126"/>
    <w:rsid w:val="00C93F26"/>
    <w:rsid w:val="00C94452"/>
    <w:rsid w:val="00CB4C1E"/>
    <w:rsid w:val="00CC76F9"/>
    <w:rsid w:val="00CD77E4"/>
    <w:rsid w:val="00CE0723"/>
    <w:rsid w:val="00CE3643"/>
    <w:rsid w:val="00CE51CF"/>
    <w:rsid w:val="00CF4598"/>
    <w:rsid w:val="00D151E7"/>
    <w:rsid w:val="00D30C75"/>
    <w:rsid w:val="00D35260"/>
    <w:rsid w:val="00D52E20"/>
    <w:rsid w:val="00D546F4"/>
    <w:rsid w:val="00D54A46"/>
    <w:rsid w:val="00D6533D"/>
    <w:rsid w:val="00D7534C"/>
    <w:rsid w:val="00D81439"/>
    <w:rsid w:val="00D87E6B"/>
    <w:rsid w:val="00D94402"/>
    <w:rsid w:val="00DA1E4A"/>
    <w:rsid w:val="00DA22BC"/>
    <w:rsid w:val="00DA2FD9"/>
    <w:rsid w:val="00DA3FF2"/>
    <w:rsid w:val="00DA44FF"/>
    <w:rsid w:val="00DA74FD"/>
    <w:rsid w:val="00DE5193"/>
    <w:rsid w:val="00DF3B7B"/>
    <w:rsid w:val="00E00DAC"/>
    <w:rsid w:val="00E22DDF"/>
    <w:rsid w:val="00E248DC"/>
    <w:rsid w:val="00E3222C"/>
    <w:rsid w:val="00E40297"/>
    <w:rsid w:val="00E5309A"/>
    <w:rsid w:val="00E93473"/>
    <w:rsid w:val="00E93666"/>
    <w:rsid w:val="00EA218A"/>
    <w:rsid w:val="00EA2A9D"/>
    <w:rsid w:val="00EB4BD7"/>
    <w:rsid w:val="00ED2636"/>
    <w:rsid w:val="00F0255D"/>
    <w:rsid w:val="00F02A96"/>
    <w:rsid w:val="00F031D1"/>
    <w:rsid w:val="00F12781"/>
    <w:rsid w:val="00F1657C"/>
    <w:rsid w:val="00F201F2"/>
    <w:rsid w:val="00F3046B"/>
    <w:rsid w:val="00F336E8"/>
    <w:rsid w:val="00F50A0D"/>
    <w:rsid w:val="00F7392D"/>
    <w:rsid w:val="00F92E40"/>
    <w:rsid w:val="00F94B72"/>
    <w:rsid w:val="00FA0D60"/>
    <w:rsid w:val="00FC72BA"/>
    <w:rsid w:val="00FD0AB1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717"/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line="360" w:lineRule="auto"/>
    </w:pPr>
    <w:rPr>
      <w:sz w:val="24"/>
    </w:rPr>
  </w:style>
  <w:style w:type="paragraph" w:styleId="Cm">
    <w:name w:val="Title"/>
    <w:basedOn w:val="Norml"/>
    <w:qFormat/>
    <w:pPr>
      <w:spacing w:line="360" w:lineRule="auto"/>
      <w:jc w:val="center"/>
    </w:pPr>
    <w:rPr>
      <w:sz w:val="24"/>
    </w:rPr>
  </w:style>
  <w:style w:type="paragraph" w:styleId="lfej">
    <w:name w:val="header"/>
    <w:basedOn w:val="Norml"/>
    <w:rsid w:val="005521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13D"/>
  </w:style>
  <w:style w:type="table" w:styleId="Rcsostblzat">
    <w:name w:val="Table Grid"/>
    <w:basedOn w:val="Normltblzat"/>
    <w:rsid w:val="0006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C0734"/>
    <w:pPr>
      <w:tabs>
        <w:tab w:val="center" w:pos="4536"/>
        <w:tab w:val="right" w:pos="9072"/>
      </w:tabs>
    </w:pPr>
  </w:style>
  <w:style w:type="paragraph" w:customStyle="1" w:styleId="CharCharChar">
    <w:name w:val=" Char Char Char"/>
    <w:basedOn w:val="Norml"/>
    <w:link w:val="Bekezdsalapbettpusa"/>
    <w:rsid w:val="00C6114B"/>
    <w:pPr>
      <w:spacing w:before="120" w:afterLines="5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Szvegtrzsbehzssal">
    <w:name w:val="Body Text Indent"/>
    <w:basedOn w:val="Norml"/>
    <w:rsid w:val="00C6114B"/>
    <w:pPr>
      <w:spacing w:after="120"/>
      <w:ind w:left="283"/>
    </w:pPr>
  </w:style>
  <w:style w:type="paragraph" w:styleId="Buborkszveg">
    <w:name w:val="Balloon Text"/>
    <w:basedOn w:val="Norml"/>
    <w:semiHidden/>
    <w:rsid w:val="000501C8"/>
    <w:rPr>
      <w:rFonts w:ascii="Tahoma" w:hAnsi="Tahoma" w:cs="Tahoma"/>
      <w:sz w:val="16"/>
      <w:szCs w:val="16"/>
    </w:rPr>
  </w:style>
  <w:style w:type="paragraph" w:customStyle="1" w:styleId="CharCharCharCharCharCharCharCharChar">
    <w:name w:val=" Char Char Char Char Char Char Char Char Char"/>
    <w:basedOn w:val="Norml"/>
    <w:rsid w:val="008739C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1503</Words>
  <Characters>10373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Nagyközségi Önkormányzat</vt:lpstr>
    </vt:vector>
  </TitlesOfParts>
  <Company/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Nagyközségi Önkormányzat</dc:title>
  <dc:creator>xy</dc:creator>
  <cp:lastModifiedBy>Eloj</cp:lastModifiedBy>
  <cp:revision>2</cp:revision>
  <cp:lastPrinted>2013-05-17T09:51:00Z</cp:lastPrinted>
  <dcterms:created xsi:type="dcterms:W3CDTF">2016-07-15T05:45:00Z</dcterms:created>
  <dcterms:modified xsi:type="dcterms:W3CDTF">2016-07-15T05:45:00Z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-556725846</vt:i4>
  </property>
  <property fmtid="{D5CDD505-2E9C-101B-9397-08002B2CF9AE}" pid="3" name="_EmailSubject">
    <vt:lpwstr/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125793463</vt:i4>
  </property>
  <property fmtid="{D5CDD505-2E9C-101B-9397-08002B2CF9AE}" pid="7" name="_ReviewingToolsShownOnce">
    <vt:lpwstr/>
  </property>
</Properties>
</file>