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57" w:rsidRDefault="00F03D57" w:rsidP="00F03D57">
      <w:pPr>
        <w:ind w:left="84" w:right="41" w:hanging="10"/>
        <w:jc w:val="center"/>
        <w:rPr>
          <w:b/>
        </w:rPr>
      </w:pPr>
    </w:p>
    <w:p w:rsidR="00F03D57" w:rsidRDefault="00F03D57" w:rsidP="00F03D57">
      <w:pPr>
        <w:ind w:left="84" w:right="41" w:hanging="10"/>
        <w:jc w:val="center"/>
        <w:rPr>
          <w:b/>
        </w:rPr>
      </w:pPr>
      <w:r>
        <w:rPr>
          <w:b/>
        </w:rPr>
        <w:t>INDOKOLÁS</w:t>
      </w:r>
    </w:p>
    <w:p w:rsidR="00F03D57" w:rsidRDefault="00F03D57" w:rsidP="00F03D57">
      <w:pPr>
        <w:ind w:left="84" w:right="26" w:hanging="10"/>
        <w:jc w:val="center"/>
        <w:rPr>
          <w:b/>
        </w:rPr>
      </w:pPr>
    </w:p>
    <w:p w:rsidR="00F03D57" w:rsidRDefault="00F03D57" w:rsidP="00F03D57">
      <w:pPr>
        <w:ind w:left="84" w:right="26" w:hanging="10"/>
        <w:jc w:val="center"/>
        <w:rPr>
          <w:b/>
        </w:rPr>
      </w:pPr>
    </w:p>
    <w:p w:rsidR="00F03D57" w:rsidRDefault="00F03D57" w:rsidP="00F03D57">
      <w:pPr>
        <w:ind w:left="84" w:right="26" w:hanging="10"/>
        <w:jc w:val="center"/>
        <w:rPr>
          <w:b/>
        </w:rPr>
      </w:pPr>
      <w:r>
        <w:rPr>
          <w:b/>
        </w:rPr>
        <w:t>Szolnok Megyei Jogú Város Közgyűlésének a Szolnoki Kistérség Többcélú Társulása által biztosított személyes gondoskodást nyújtó ellátásokról, azok igénybevételéről, valamint az ellátások intézményi és személyi térítési díjainak megállapításáról szóló 14/2011. (IV.28.) rendelete</w:t>
      </w:r>
    </w:p>
    <w:p w:rsidR="00F03D57" w:rsidRDefault="00F03D57" w:rsidP="00F03D57">
      <w:pPr>
        <w:ind w:left="84" w:right="46" w:hanging="10"/>
        <w:jc w:val="center"/>
        <w:rPr>
          <w:b/>
        </w:rPr>
      </w:pPr>
      <w:r>
        <w:rPr>
          <w:b/>
        </w:rPr>
        <w:t>(továbbiakban: Rendelet) módosításához</w:t>
      </w:r>
    </w:p>
    <w:p w:rsidR="00F03D57" w:rsidRDefault="00F03D57" w:rsidP="00F03D57">
      <w:pPr>
        <w:ind w:left="84" w:right="55" w:hanging="10"/>
        <w:jc w:val="center"/>
        <w:rPr>
          <w:sz w:val="26"/>
          <w:szCs w:val="22"/>
        </w:rPr>
      </w:pPr>
    </w:p>
    <w:p w:rsidR="00F03D57" w:rsidRDefault="00F03D57" w:rsidP="00F03D57">
      <w:pPr>
        <w:ind w:left="84" w:right="55" w:hanging="10"/>
        <w:jc w:val="center"/>
        <w:rPr>
          <w:sz w:val="26"/>
        </w:rPr>
      </w:pPr>
    </w:p>
    <w:p w:rsidR="00F03D57" w:rsidRDefault="00F03D57" w:rsidP="00F03D57">
      <w:pPr>
        <w:ind w:left="84" w:right="55" w:hanging="10"/>
        <w:jc w:val="center"/>
        <w:rPr>
          <w:b/>
        </w:rPr>
      </w:pPr>
      <w:r>
        <w:rPr>
          <w:b/>
        </w:rPr>
        <w:t>Általános indokolás</w:t>
      </w:r>
    </w:p>
    <w:p w:rsidR="00F03D57" w:rsidRDefault="00F03D57" w:rsidP="00F03D57">
      <w:pPr>
        <w:jc w:val="both"/>
      </w:pPr>
    </w:p>
    <w:p w:rsidR="00F03D57" w:rsidRDefault="00F03D57" w:rsidP="00F03D57">
      <w:pPr>
        <w:pStyle w:val="NormlWeb"/>
        <w:jc w:val="both"/>
      </w:pPr>
      <w:r>
        <w:t>A jogszabályi változásból eredő béremelkedések, továbbá normatíva változások szükségessé teszik az intézményi térítési díjak kismértékű korrigálását.</w:t>
      </w:r>
    </w:p>
    <w:p w:rsidR="00F03D57" w:rsidRPr="002A683E" w:rsidRDefault="00F03D57" w:rsidP="00F03D57">
      <w:pPr>
        <w:jc w:val="both"/>
      </w:pPr>
      <w:r w:rsidRPr="002A683E"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F03D57" w:rsidRPr="00A576B2" w:rsidRDefault="00F03D57" w:rsidP="00F03D57">
      <w:pPr>
        <w:jc w:val="both"/>
      </w:pPr>
    </w:p>
    <w:p w:rsidR="00F03D57" w:rsidRDefault="00F03D57" w:rsidP="00F03D57">
      <w:pPr>
        <w:ind w:left="2021" w:right="2011" w:hanging="10"/>
        <w:jc w:val="center"/>
        <w:rPr>
          <w:b/>
        </w:rPr>
      </w:pPr>
    </w:p>
    <w:p w:rsidR="00F03D57" w:rsidRDefault="00F03D57" w:rsidP="00F03D57">
      <w:pPr>
        <w:ind w:left="2021" w:right="2011" w:hanging="10"/>
        <w:jc w:val="center"/>
        <w:rPr>
          <w:b/>
          <w:sz w:val="22"/>
        </w:rPr>
      </w:pPr>
      <w:r>
        <w:rPr>
          <w:b/>
        </w:rPr>
        <w:t>Részletes indokolás</w:t>
      </w:r>
    </w:p>
    <w:p w:rsidR="00F03D57" w:rsidRDefault="00F03D57" w:rsidP="00F03D57">
      <w:pPr>
        <w:ind w:left="24" w:hanging="10"/>
        <w:jc w:val="center"/>
        <w:rPr>
          <w:sz w:val="30"/>
        </w:rPr>
      </w:pPr>
    </w:p>
    <w:p w:rsidR="00F03D57" w:rsidRDefault="00F03D57" w:rsidP="00F03D57">
      <w:pPr>
        <w:ind w:left="24" w:hanging="10"/>
        <w:jc w:val="center"/>
        <w:rPr>
          <w:b/>
        </w:rPr>
      </w:pPr>
      <w:r>
        <w:rPr>
          <w:b/>
        </w:rPr>
        <w:t>1. §-hoz</w:t>
      </w:r>
    </w:p>
    <w:p w:rsidR="00F03D57" w:rsidRDefault="00F03D57" w:rsidP="00F03D57">
      <w:pPr>
        <w:ind w:left="28" w:right="14"/>
        <w:jc w:val="both"/>
        <w:rPr>
          <w:szCs w:val="22"/>
        </w:rPr>
      </w:pPr>
    </w:p>
    <w:p w:rsidR="00F03D57" w:rsidRDefault="00F03D57" w:rsidP="00F03D57">
      <w:pPr>
        <w:ind w:left="28" w:right="14"/>
        <w:jc w:val="both"/>
        <w:rPr>
          <w:b/>
        </w:rPr>
      </w:pPr>
    </w:p>
    <w:p w:rsidR="00F03D57" w:rsidRDefault="00F03D57" w:rsidP="00F03D57">
      <w:pPr>
        <w:ind w:left="28" w:right="14"/>
        <w:jc w:val="both"/>
      </w:pPr>
      <w:r>
        <w:t>A térítési díjak módosítását tartalmazó mellékletet határozza meg.</w:t>
      </w:r>
    </w:p>
    <w:p w:rsidR="00F03D57" w:rsidRDefault="00F03D57" w:rsidP="00F03D57">
      <w:pPr>
        <w:ind w:left="28" w:right="14"/>
        <w:jc w:val="center"/>
        <w:rPr>
          <w:b/>
        </w:rPr>
      </w:pPr>
    </w:p>
    <w:p w:rsidR="00F03D57" w:rsidRDefault="00F03D57" w:rsidP="00F03D57">
      <w:pPr>
        <w:ind w:left="28" w:right="14"/>
        <w:jc w:val="center"/>
        <w:rPr>
          <w:b/>
        </w:rPr>
      </w:pPr>
      <w:r>
        <w:rPr>
          <w:b/>
        </w:rPr>
        <w:t>2. §-hoz</w:t>
      </w:r>
    </w:p>
    <w:p w:rsidR="00F03D57" w:rsidRDefault="00F03D57" w:rsidP="00F03D57">
      <w:pPr>
        <w:ind w:left="28" w:right="14"/>
        <w:jc w:val="center"/>
        <w:rPr>
          <w:b/>
        </w:rPr>
      </w:pPr>
    </w:p>
    <w:p w:rsidR="00F03D57" w:rsidRDefault="00F03D57" w:rsidP="00F03D57">
      <w:pPr>
        <w:ind w:left="28" w:right="14"/>
        <w:jc w:val="both"/>
      </w:pPr>
      <w:r>
        <w:t>A rendelet hatálybalépéséről rendelkezik.</w:t>
      </w:r>
    </w:p>
    <w:p w:rsidR="00F03D57" w:rsidRDefault="00F03D57" w:rsidP="00F03D57">
      <w:pPr>
        <w:ind w:left="28" w:right="14"/>
        <w:jc w:val="both"/>
      </w:pPr>
    </w:p>
    <w:p w:rsidR="00F03D57" w:rsidRDefault="00F03D57" w:rsidP="00F03D57">
      <w:pPr>
        <w:ind w:left="28" w:right="14"/>
        <w:jc w:val="both"/>
      </w:pPr>
    </w:p>
    <w:p w:rsidR="00F03D57" w:rsidRDefault="00F03D57" w:rsidP="00F03D57">
      <w:pPr>
        <w:ind w:left="28" w:right="14"/>
        <w:jc w:val="both"/>
      </w:pPr>
    </w:p>
    <w:p w:rsidR="00F03D57" w:rsidRDefault="00F03D57" w:rsidP="00F03D57">
      <w:pPr>
        <w:ind w:left="28" w:right="14"/>
        <w:jc w:val="both"/>
      </w:pPr>
    </w:p>
    <w:p w:rsidR="00F03D57" w:rsidRDefault="00F03D57" w:rsidP="00F03D57">
      <w:pPr>
        <w:ind w:left="28" w:right="14"/>
        <w:jc w:val="both"/>
      </w:pPr>
    </w:p>
    <w:p w:rsidR="00F03D57" w:rsidRDefault="00F03D57" w:rsidP="00F03D57">
      <w:pPr>
        <w:ind w:left="28" w:right="14"/>
        <w:jc w:val="both"/>
      </w:pPr>
    </w:p>
    <w:p w:rsidR="00F03D57" w:rsidRDefault="00F03D57" w:rsidP="00F03D57">
      <w:pPr>
        <w:ind w:left="28" w:right="14"/>
        <w:jc w:val="both"/>
      </w:pPr>
    </w:p>
    <w:p w:rsidR="006002B3" w:rsidRDefault="006002B3">
      <w:bookmarkStart w:id="0" w:name="_GoBack"/>
      <w:bookmarkEnd w:id="0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57"/>
    <w:rsid w:val="00017AC9"/>
    <w:rsid w:val="00041373"/>
    <w:rsid w:val="00060BB5"/>
    <w:rsid w:val="0007045C"/>
    <w:rsid w:val="000E74A4"/>
    <w:rsid w:val="000F5D5A"/>
    <w:rsid w:val="00114D43"/>
    <w:rsid w:val="0012249E"/>
    <w:rsid w:val="001570D9"/>
    <w:rsid w:val="001621F1"/>
    <w:rsid w:val="001B06FA"/>
    <w:rsid w:val="001C6ED0"/>
    <w:rsid w:val="001F56A5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02BC"/>
    <w:rsid w:val="002E3402"/>
    <w:rsid w:val="002F4441"/>
    <w:rsid w:val="003075F1"/>
    <w:rsid w:val="0033357F"/>
    <w:rsid w:val="00395C0F"/>
    <w:rsid w:val="003A2F1A"/>
    <w:rsid w:val="003B5B2A"/>
    <w:rsid w:val="004246E3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42781"/>
    <w:rsid w:val="006547B9"/>
    <w:rsid w:val="006868B0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B04C8A"/>
    <w:rsid w:val="00B11E00"/>
    <w:rsid w:val="00B17F38"/>
    <w:rsid w:val="00B42EA9"/>
    <w:rsid w:val="00B54CF4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C4A84"/>
    <w:rsid w:val="00EF0009"/>
    <w:rsid w:val="00F01E47"/>
    <w:rsid w:val="00F03D57"/>
    <w:rsid w:val="00F67DF7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B8AED-E41C-452F-9F74-5C07622A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3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F03D5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2020-06-17T12:46:00Z</dcterms:created>
  <dcterms:modified xsi:type="dcterms:W3CDTF">2020-06-17T12:46:00Z</dcterms:modified>
</cp:coreProperties>
</file>