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408" w:rsidRDefault="00F83408" w:rsidP="00F83408">
      <w:pPr>
        <w:pStyle w:val="Cm"/>
        <w:jc w:val="right"/>
        <w:rPr>
          <w:i w:val="0"/>
          <w:iCs/>
        </w:rPr>
      </w:pPr>
      <w:r>
        <w:rPr>
          <w:i w:val="0"/>
          <w:iCs/>
        </w:rPr>
        <w:t>1. melléklet</w:t>
      </w:r>
    </w:p>
    <w:p w:rsidR="00F83408" w:rsidRDefault="00F83408" w:rsidP="00F83408">
      <w:pPr>
        <w:pStyle w:val="Cm"/>
        <w:jc w:val="both"/>
        <w:rPr>
          <w:i w:val="0"/>
          <w:iCs/>
          <w:u w:val="none"/>
        </w:rPr>
      </w:pPr>
    </w:p>
    <w:p w:rsidR="00F83408" w:rsidRDefault="00F83408" w:rsidP="00F83408">
      <w:pPr>
        <w:pStyle w:val="Cm"/>
        <w:jc w:val="both"/>
        <w:rPr>
          <w:i w:val="0"/>
          <w:iCs/>
          <w:u w:val="none"/>
        </w:rPr>
      </w:pPr>
      <w:r>
        <w:rPr>
          <w:i w:val="0"/>
          <w:iCs/>
          <w:u w:val="none"/>
        </w:rPr>
        <w:t>Az önkormányzat és szervei szervezeti és működési szabályzatáról szóló 5/2011 (II.25.) önkormányzati rendelet 1. melléklete:</w:t>
      </w:r>
    </w:p>
    <w:p w:rsidR="00F83408" w:rsidRDefault="00F83408" w:rsidP="00F83408">
      <w:pPr>
        <w:pStyle w:val="WW-Szvegtrzs2"/>
        <w:widowControl/>
        <w:autoSpaceDE/>
      </w:pPr>
    </w:p>
    <w:p w:rsidR="00F83408" w:rsidRDefault="00F83408" w:rsidP="00F83408">
      <w:pPr>
        <w:pStyle w:val="Cmsor3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 KÉPVISELŐ TESTÜLET ÁLTAL  ÁTRUHÁZOTT HATÁSKÖRÖK</w:t>
      </w:r>
    </w:p>
    <w:p w:rsidR="00F83408" w:rsidRDefault="00F83408" w:rsidP="00F83408">
      <w:pPr>
        <w:pStyle w:val="Cm"/>
        <w:ind w:left="420"/>
        <w:jc w:val="both"/>
        <w:rPr>
          <w:b w:val="0"/>
          <w:bCs/>
          <w:i w:val="0"/>
          <w:iCs/>
        </w:rPr>
      </w:pPr>
    </w:p>
    <w:p w:rsidR="00F83408" w:rsidRDefault="00F83408" w:rsidP="00F83408">
      <w:pPr>
        <w:pStyle w:val="Cm"/>
        <w:ind w:left="420"/>
        <w:jc w:val="both"/>
        <w:rPr>
          <w:i w:val="0"/>
          <w:iCs/>
        </w:rPr>
      </w:pPr>
      <w:r>
        <w:rPr>
          <w:i w:val="0"/>
          <w:iCs/>
        </w:rPr>
        <w:t>1. Az önkormányzat Polgármesterre átruházott hatáskörei:</w:t>
      </w:r>
    </w:p>
    <w:p w:rsidR="00F83408" w:rsidRDefault="00F83408" w:rsidP="00F83408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Cm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Cm"/>
        <w:ind w:left="709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1.1. a lakások és nem lakás céljára szolgáló helyiségek bérletére, elidegenítésére,</w:t>
      </w:r>
      <w:r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  <w:u w:val="none"/>
        </w:rPr>
        <w:t xml:space="preserve">valamint a lakáshoz jutás helyi támogatására vonatkozó szabályokról szóló, mindenkor hatályos önkormányzati rendeletben meghatározott </w:t>
      </w:r>
      <w:proofErr w:type="gramStart"/>
      <w:r>
        <w:rPr>
          <w:b w:val="0"/>
          <w:bCs/>
          <w:i w:val="0"/>
          <w:iCs/>
          <w:u w:val="none"/>
        </w:rPr>
        <w:t>első fokú</w:t>
      </w:r>
      <w:proofErr w:type="gramEnd"/>
      <w:r>
        <w:rPr>
          <w:b w:val="0"/>
          <w:bCs/>
          <w:i w:val="0"/>
          <w:iCs/>
          <w:u w:val="none"/>
        </w:rPr>
        <w:t xml:space="preserve"> hatáskörök ellátása. </w:t>
      </w:r>
    </w:p>
    <w:p w:rsidR="00F83408" w:rsidRDefault="00F83408" w:rsidP="00F83408">
      <w:pPr>
        <w:pStyle w:val="Cm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Szvegtrzs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 Az Önkormányzat vagyonáról szóló helyi önkormányzati rendeletben meghatározott hatáskörök gyakorlása,</w:t>
      </w:r>
    </w:p>
    <w:p w:rsidR="00F83408" w:rsidRDefault="00F83408" w:rsidP="00F83408">
      <w:pPr>
        <w:ind w:left="748" w:hanging="388"/>
        <w:jc w:val="both"/>
      </w:pPr>
      <w:r>
        <w:t xml:space="preserve">      1.3 dönt a költségvetési rendeletben meghatározott polgármesteri keret felhasználásáról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 1.4 dönt a közterület bérbeadásáról, valamint hozzájárulását adja a közterület    használatához;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 1.5 dönt az Arany János Tehetséggondozó Programban való részvételhez szükséges anyagi támogatás nélküli támogató nyilatkozat kiadásáról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 1.6 intézkedik a köztemetésről, a köztemetés költségeinek hagyatéki teherként történő bejelentéséről, kötelezi az eltemettetésre kötelezett személyt a köztemetés költségeinek megtérítésére, illetve azt </w:t>
      </w:r>
      <w:proofErr w:type="spellStart"/>
      <w:r>
        <w:t>méltányosságból</w:t>
      </w:r>
      <w:proofErr w:type="spellEnd"/>
      <w:r>
        <w:t xml:space="preserve"> elengedi, mérsékli.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</w:t>
      </w:r>
      <w:proofErr w:type="gramStart"/>
      <w:r>
        <w:t>1.7  dönt</w:t>
      </w:r>
      <w:proofErr w:type="gramEnd"/>
      <w:r>
        <w:t xml:space="preserve"> az Önkormányzat jelképe használatának engedélyezéséről 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1.8 dönt az önkormányzati tulajdonba kerülő közművek megépítéséhez való hozzájárulásról, valamint a közművek önkormányzati tulajdonba vételéről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</w:t>
      </w:r>
      <w:proofErr w:type="gramStart"/>
      <w:r>
        <w:t>1.9  dönt</w:t>
      </w:r>
      <w:proofErr w:type="gramEnd"/>
      <w:r>
        <w:t xml:space="preserve"> a gyermekek és felsőfokú oktatási intézmény nappali tagozatán tanuló fiatal felnőttek tanév kezdési támogatásáról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ind w:left="748" w:hanging="388"/>
        <w:jc w:val="both"/>
      </w:pPr>
      <w:r>
        <w:t xml:space="preserve">      1.10 dönt az időskorúak eseti (karácsonyi) támogatásának elbírálásáról</w:t>
      </w:r>
    </w:p>
    <w:p w:rsidR="00F83408" w:rsidRDefault="00F83408" w:rsidP="00F83408">
      <w:pPr>
        <w:ind w:left="748" w:hanging="388"/>
        <w:jc w:val="both"/>
      </w:pPr>
    </w:p>
    <w:p w:rsidR="00F83408" w:rsidRDefault="00F83408" w:rsidP="00F83408">
      <w:pPr>
        <w:jc w:val="both"/>
      </w:pPr>
    </w:p>
    <w:p w:rsidR="00F83408" w:rsidRDefault="00F83408" w:rsidP="00F83408">
      <w:pPr>
        <w:ind w:left="748"/>
        <w:jc w:val="both"/>
      </w:pPr>
      <w:r>
        <w:t xml:space="preserve">1.11. Az önkormányzat éves költségvetését megállapító önkormányzati rendeletben meghatározott hatáskörök gyakorlása, </w:t>
      </w:r>
      <w:proofErr w:type="spellStart"/>
      <w:r>
        <w:t>um</w:t>
      </w:r>
      <w:proofErr w:type="spellEnd"/>
      <w:r>
        <w:t>.:</w:t>
      </w:r>
    </w:p>
    <w:p w:rsidR="00F83408" w:rsidRDefault="00F83408" w:rsidP="00F83408">
      <w:pPr>
        <w:numPr>
          <w:ilvl w:val="0"/>
          <w:numId w:val="1"/>
        </w:numPr>
        <w:jc w:val="both"/>
      </w:pPr>
      <w:r>
        <w:t>Dönt az év közbeni szabad pénzeszközök OTP Bank Nyrt-nél erre a célra nyitott bankszámlán történő lekötéséről,</w:t>
      </w:r>
    </w:p>
    <w:p w:rsidR="00F83408" w:rsidRDefault="00F83408" w:rsidP="00F83408">
      <w:pPr>
        <w:numPr>
          <w:ilvl w:val="0"/>
          <w:numId w:val="1"/>
        </w:numPr>
        <w:jc w:val="both"/>
      </w:pPr>
      <w:r>
        <w:t>Átcsoportosíthatja két testületi ülés közötti időszakban az előirányzatok között a költségvetési főösszeg 5 %-</w:t>
      </w:r>
      <w:proofErr w:type="spellStart"/>
      <w:r>
        <w:t>ának</w:t>
      </w:r>
      <w:proofErr w:type="spellEnd"/>
      <w:r>
        <w:t xml:space="preserve"> erejéig az előirányzatot, melyről a soron következő testületi ülésen köteles beszámolni. </w:t>
      </w:r>
    </w:p>
    <w:p w:rsidR="00F83408" w:rsidRDefault="00F83408" w:rsidP="00F83408">
      <w:pPr>
        <w:numPr>
          <w:ilvl w:val="0"/>
          <w:numId w:val="1"/>
        </w:numPr>
        <w:jc w:val="both"/>
        <w:rPr>
          <w:b/>
          <w:bCs/>
        </w:rPr>
      </w:pPr>
      <w:r>
        <w:lastRenderedPageBreak/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F83408" w:rsidRDefault="00F83408" w:rsidP="00F83408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..</w:t>
      </w:r>
      <w:proofErr w:type="gramEnd"/>
      <w:r>
        <w:t>a gazdálkodás feltételeiben év közben fellépő kedvezőtlen változások esetén, amelyek a költségvetés végrehajtását alapvetően veszélyeztetik, – a Képviselő-testület utólagos jóváhagyása mellett – a teljes önkormányzati körben a kötelezettségvállalási (pénzfelhasználási) jogköröket felfüggesztheti vagy korlátozhatja.</w:t>
      </w:r>
    </w:p>
    <w:p w:rsidR="00F83408" w:rsidRDefault="00F83408" w:rsidP="00F83408">
      <w:pPr>
        <w:ind w:firstLine="708"/>
      </w:pPr>
    </w:p>
    <w:p w:rsidR="00F83408" w:rsidRDefault="00F83408" w:rsidP="00F83408">
      <w:pPr>
        <w:pStyle w:val="Cm"/>
        <w:jc w:val="both"/>
        <w:rPr>
          <w:b w:val="0"/>
          <w:bCs/>
          <w:i w:val="0"/>
          <w:iCs/>
        </w:rPr>
      </w:pPr>
    </w:p>
    <w:p w:rsidR="00F83408" w:rsidRDefault="00F83408" w:rsidP="00F83408">
      <w:pPr>
        <w:pStyle w:val="Cm"/>
        <w:jc w:val="both"/>
        <w:rPr>
          <w:i w:val="0"/>
          <w:iCs/>
        </w:rPr>
      </w:pPr>
      <w:r>
        <w:rPr>
          <w:i w:val="0"/>
          <w:iCs/>
        </w:rPr>
        <w:t xml:space="preserve">2. Az </w:t>
      </w:r>
      <w:proofErr w:type="gramStart"/>
      <w:r>
        <w:rPr>
          <w:i w:val="0"/>
          <w:iCs/>
        </w:rPr>
        <w:t>önkormányzat  Pénzügyi</w:t>
      </w:r>
      <w:proofErr w:type="gramEnd"/>
      <w:r>
        <w:rPr>
          <w:i w:val="0"/>
          <w:iCs/>
        </w:rPr>
        <w:t xml:space="preserve"> Bizottságra átruházott hatáskörei:</w:t>
      </w:r>
    </w:p>
    <w:p w:rsidR="00F83408" w:rsidRDefault="00F83408" w:rsidP="00F83408">
      <w:pPr>
        <w:pStyle w:val="Cm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Cm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Cm"/>
        <w:jc w:val="both"/>
        <w:rPr>
          <w:i w:val="0"/>
          <w:iCs/>
        </w:rPr>
      </w:pPr>
      <w:r>
        <w:rPr>
          <w:i w:val="0"/>
          <w:iCs/>
        </w:rPr>
        <w:t>3. Az önkormányzat Szociális és Egészségügyi Bizottságra átruházott hatáskörei:</w:t>
      </w:r>
    </w:p>
    <w:p w:rsidR="00F83408" w:rsidRDefault="00F83408" w:rsidP="00F83408">
      <w:pPr>
        <w:pStyle w:val="Cm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pStyle w:val="Szvegtrzs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4. Az önkormányzat Közbeszerzési Bizottságára átruházott hatáskörei:</w:t>
      </w:r>
    </w:p>
    <w:p w:rsidR="00F83408" w:rsidRDefault="00F83408" w:rsidP="00F83408">
      <w:pPr>
        <w:pStyle w:val="Szvegtrzs"/>
        <w:spacing w:after="0"/>
        <w:jc w:val="both"/>
        <w:rPr>
          <w:rFonts w:ascii="Times New Roman" w:hAnsi="Times New Roman"/>
          <w:u w:val="single"/>
        </w:rPr>
      </w:pPr>
    </w:p>
    <w:p w:rsidR="00F83408" w:rsidRDefault="00F83408" w:rsidP="00F83408">
      <w:pPr>
        <w:pStyle w:val="Szvegtrzs"/>
        <w:spacing w:after="0"/>
        <w:jc w:val="both"/>
        <w:rPr>
          <w:rFonts w:ascii="Times New Roman" w:hAnsi="Times New Roman"/>
          <w:u w:val="single"/>
        </w:rPr>
      </w:pPr>
    </w:p>
    <w:p w:rsidR="00F83408" w:rsidRDefault="00F83408" w:rsidP="00F83408">
      <w:pPr>
        <w:pStyle w:val="Szvegtrzs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5. Az önkormányzat Sport Bizottságára átruházott hatáskörei </w:t>
      </w:r>
    </w:p>
    <w:p w:rsidR="00F83408" w:rsidRDefault="00F83408" w:rsidP="00F83408">
      <w:pPr>
        <w:ind w:left="935"/>
      </w:pPr>
      <w:r>
        <w:t>.</w:t>
      </w:r>
    </w:p>
    <w:p w:rsidR="00F83408" w:rsidRDefault="00F83408" w:rsidP="00F83408">
      <w:pPr>
        <w:pStyle w:val="Szvegtrzs"/>
        <w:spacing w:after="0"/>
        <w:jc w:val="both"/>
        <w:rPr>
          <w:rFonts w:ascii="Times New Roman" w:hAnsi="Times New Roman"/>
          <w:u w:val="single"/>
        </w:rPr>
      </w:pPr>
    </w:p>
    <w:p w:rsidR="00F83408" w:rsidRDefault="00F83408" w:rsidP="00F83408">
      <w:pPr>
        <w:pStyle w:val="Cm"/>
        <w:jc w:val="both"/>
        <w:rPr>
          <w:b w:val="0"/>
          <w:bCs/>
          <w:i w:val="0"/>
          <w:iCs/>
          <w:u w:val="none"/>
        </w:rPr>
      </w:pPr>
    </w:p>
    <w:p w:rsidR="00F83408" w:rsidRDefault="00F83408" w:rsidP="00F83408">
      <w:pPr>
        <w:ind w:left="561" w:hanging="561"/>
      </w:pPr>
    </w:p>
    <w:p w:rsidR="00F83408" w:rsidRDefault="00F83408" w:rsidP="00F83408">
      <w:pPr>
        <w:ind w:left="561" w:hanging="561"/>
        <w:rPr>
          <w:b/>
          <w:bCs/>
          <w:u w:val="single"/>
        </w:rPr>
      </w:pPr>
      <w:r>
        <w:rPr>
          <w:u w:val="single"/>
        </w:rPr>
        <w:t>6. Szabolcs-Szatmár-Bereg Megyei Szilárdhulladék-gazdálkodási Társulásra átruházott hatásköre</w:t>
      </w:r>
      <w:r>
        <w:rPr>
          <w:b/>
          <w:bCs/>
          <w:u w:val="single"/>
        </w:rPr>
        <w:t>:</w:t>
      </w:r>
    </w:p>
    <w:p w:rsidR="00F83408" w:rsidRDefault="00F83408" w:rsidP="00F83408">
      <w:pPr>
        <w:ind w:left="561" w:hanging="561"/>
        <w:rPr>
          <w:b/>
          <w:bCs/>
          <w:u w:val="single"/>
        </w:rPr>
      </w:pPr>
    </w:p>
    <w:p w:rsidR="00F83408" w:rsidRDefault="00F83408" w:rsidP="00F83408">
      <w:pPr>
        <w:ind w:left="561" w:hanging="561"/>
      </w:pPr>
      <w:r>
        <w:t xml:space="preserve">       6.1 Kiválasztja a településen a szilárd hulladék szállítást végző szolgáltatót.</w:t>
      </w:r>
    </w:p>
    <w:p w:rsidR="00F83408" w:rsidRDefault="00F83408" w:rsidP="00F83408">
      <w:pPr>
        <w:ind w:left="561" w:hanging="561"/>
      </w:pPr>
    </w:p>
    <w:p w:rsidR="00F83408" w:rsidRDefault="00F83408" w:rsidP="00F83408">
      <w:pPr>
        <w:ind w:left="561" w:hanging="561"/>
        <w:rPr>
          <w:u w:val="single"/>
        </w:rPr>
      </w:pPr>
      <w:r>
        <w:rPr>
          <w:u w:val="single"/>
        </w:rPr>
        <w:t>7. Jegyzőre átruházott hatásköre</w:t>
      </w:r>
    </w:p>
    <w:p w:rsidR="00F83408" w:rsidRDefault="00F83408" w:rsidP="00F83408">
      <w:pPr>
        <w:ind w:left="561" w:hanging="561"/>
      </w:pPr>
      <w:r>
        <w:rPr>
          <w:bCs/>
        </w:rPr>
        <w:t xml:space="preserve">       7.1.Mezőőri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p w:rsidR="00F83408" w:rsidRDefault="00F83408" w:rsidP="00F83408"/>
    <w:p w:rsidR="00F83408" w:rsidRDefault="00F83408" w:rsidP="00F83408"/>
    <w:p w:rsidR="00F83408" w:rsidRDefault="00F83408" w:rsidP="00F83408"/>
    <w:p w:rsidR="00925A7A" w:rsidRDefault="00925A7A">
      <w:bookmarkStart w:id="0" w:name="_GoBack"/>
      <w:bookmarkEnd w:id="0"/>
    </w:p>
    <w:sectPr w:rsidR="0092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F6E8D"/>
    <w:multiLevelType w:val="hybridMultilevel"/>
    <w:tmpl w:val="F8A45F88"/>
    <w:lvl w:ilvl="0" w:tplc="040E0001">
      <w:numFmt w:val="decimal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08"/>
    <w:rsid w:val="00925A7A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40CC8-8FB9-4FE0-8B02-D8BF96D1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8340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F83408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F83408"/>
    <w:pPr>
      <w:jc w:val="center"/>
    </w:pPr>
    <w:rPr>
      <w:b/>
      <w:i/>
      <w:szCs w:val="20"/>
      <w:u w:val="single"/>
    </w:rPr>
  </w:style>
  <w:style w:type="character" w:customStyle="1" w:styleId="CmChar">
    <w:name w:val="Cím Char"/>
    <w:basedOn w:val="Bekezdsalapbettpusa"/>
    <w:link w:val="Cm"/>
    <w:rsid w:val="00F83408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83408"/>
    <w:pPr>
      <w:spacing w:after="120"/>
    </w:pPr>
    <w:rPr>
      <w:rFonts w:ascii="Calibri" w:eastAsia="Calibri" w:hAnsi="Calibri"/>
    </w:rPr>
  </w:style>
  <w:style w:type="character" w:customStyle="1" w:styleId="SzvegtrzsChar">
    <w:name w:val="Szövegtörzs Char"/>
    <w:basedOn w:val="Bekezdsalapbettpusa"/>
    <w:link w:val="Szvegtrzs"/>
    <w:semiHidden/>
    <w:rsid w:val="00F83408"/>
    <w:rPr>
      <w:rFonts w:ascii="Calibri" w:eastAsia="Calibri" w:hAnsi="Calibri" w:cs="Times New Roman"/>
      <w:sz w:val="24"/>
      <w:szCs w:val="24"/>
      <w:lang w:eastAsia="hu-HU"/>
    </w:rPr>
  </w:style>
  <w:style w:type="paragraph" w:customStyle="1" w:styleId="WW-Szvegtrzs2">
    <w:name w:val="WW-Szövegtörzs 2"/>
    <w:basedOn w:val="Norml"/>
    <w:rsid w:val="00F83408"/>
    <w:pPr>
      <w:widowControl w:val="0"/>
      <w:autoSpaceDE w:val="0"/>
      <w:autoSpaceDN w:val="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2020-04-01T07:11:00Z</dcterms:created>
  <dcterms:modified xsi:type="dcterms:W3CDTF">2020-04-01T07:12:00Z</dcterms:modified>
</cp:coreProperties>
</file>