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CEAEA" w14:textId="77777777" w:rsidR="00E93092" w:rsidRDefault="00E93092" w:rsidP="00E930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INDOKOLÁS</w:t>
      </w:r>
    </w:p>
    <w:p w14:paraId="6E0CE773" w14:textId="77777777" w:rsidR="00E93092" w:rsidRDefault="00E93092" w:rsidP="00E930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181BD2" w14:textId="77777777" w:rsidR="00E93092" w:rsidRDefault="00E93092" w:rsidP="00E93092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hu-HU"/>
        </w:rPr>
        <w:t>Az államháztartásról szóló 2011. évi CXCV. törvény (továbbiakban Áht.) 91. § (1) bekezdése szerint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Az Áht. 91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 § (2) bekezdése rendelkezik arról, hogy a zárszámadás előterjesztésekor a Képviselő-testület részére – tájékoztatásul – mely mérlegeket és kimutatásokat kell bemutatni.</w:t>
      </w:r>
      <w:r>
        <w:t xml:space="preserve"> </w:t>
      </w:r>
    </w:p>
    <w:p w14:paraId="37EFF047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veszélyhelyzet megszűnésével összefüggő átmeneti szabályokról és a járványügyi készültségről szóló 2020. évi LVIII. törvény 6. §-a értelmében ha a helyi önkormányzat, az  önkormányzatok társulása, illetve a  nemzetiségi önkormányzat (e § alkalmazásában a  továbbiakban együtt: önkormányzat) e  törvény hatálybalépéséig nem rendelkezik a  2019. költségvetési évre vonatkozó elfogadott és hatályos zárszámadási rendelettel, akkor a  zárszámadási rendeletet úgy kell az önkormányzatnak elfogadnia, hogy az legkésőbb az e törvény hatálybalépését követő 30. napon hatályba lépjen. A miniszterelnök 41/2020. (VI.17.) ME határozatában megállapította, hogy</w:t>
      </w:r>
      <w: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a veszélyhelyzet megszűnésével összefüggő átmeneti szabályokról és a járványügyi készültségről szóló 2020. évi LVIII. törvény hatálybalépésének naptári napja 2020. június 18.</w:t>
      </w:r>
    </w:p>
    <w:p w14:paraId="0AE194FC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B1D49B6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hivatkozott jogszabályi előírások figyelembevételével elkészítettük a 2019. évi költségvetés végrehajtásáról szóló beszámolót, amelyet a csatolt mellékletekben foglaltak szerint terjesztünk a Tisztelt Képviselő-testület elé az alábbiakban részletezett indoklással.</w:t>
      </w:r>
    </w:p>
    <w:p w14:paraId="7DA18D80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9BE6528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környezet védelmének általános szabályairól szóló 1995. évi LIII. törvény 58. § (5) bekezdése alapján a települési önkormányzati környezetvédelmi alap felhasználásáról a képviselő-testületnek évente a zárszámadás elfogadásával egyidejűleg kell rendelkeznie.</w:t>
      </w:r>
    </w:p>
    <w:p w14:paraId="583B7A89" w14:textId="77777777" w:rsidR="00E93092" w:rsidRDefault="00E93092" w:rsidP="00E9309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highlight w:val="yellow"/>
          <w:lang w:eastAsia="hu-HU"/>
        </w:rPr>
      </w:pPr>
    </w:p>
    <w:p w14:paraId="7CD8ACC9" w14:textId="77777777" w:rsidR="00E93092" w:rsidRDefault="00E93092" w:rsidP="00E930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Bevételi előirányzatok alakulása</w:t>
      </w:r>
    </w:p>
    <w:p w14:paraId="1F69A51D" w14:textId="77777777" w:rsidR="00E93092" w:rsidRDefault="00E93092" w:rsidP="00E9309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2F01A62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Mór Város Önkormányzatának Képviselő-testülete a 2019. évi eredeti költségvetés 6 032 567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főösszegét 8 827 567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eFt-ra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módosította a döntéshozatalai során. </w:t>
      </w:r>
    </w:p>
    <w:p w14:paraId="4030FB11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21C905F" w14:textId="77777777" w:rsidR="00E93092" w:rsidRDefault="00E93092" w:rsidP="00E93092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sz w:val="24"/>
          <w:szCs w:val="24"/>
          <w:lang w:eastAsia="hu-HU"/>
        </w:rPr>
        <w:t>A jelentős összegű főösszegnövekedés 57 %-ban a támogatott fejlesztési tárgyú projektek megvalósításához szükséges fejlesztési hitel, 40 %-ban pedig felhalmozási célú átvett pénzeszközök.</w:t>
      </w:r>
    </w:p>
    <w:p w14:paraId="0CDB5426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</w:p>
    <w:p w14:paraId="5537DBCB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Bevételek teljesítése (1. melléklet)</w:t>
      </w:r>
    </w:p>
    <w:p w14:paraId="5AF7D81B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</w:p>
    <w:p w14:paraId="712A6A15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Az önkormányzat és költségvetési szervei a 2019 évre jóváhagyott bevételi előirányzataikat 64,13 %-át teljesítették, ezen belül a költségvetési bevételek 4 607 896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eFt-ra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módosított bevételi előirányzata 67,55 %-ban realizálódott.</w:t>
      </w:r>
    </w:p>
    <w:p w14:paraId="0334A583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jelentős összegű bevételi lemaradás a fejlesztési tárgyú forrásátvételnél tapasztalható, illetve az ingatlanértékesítés jogcímen. 2019. évben két beruházási projekt tekintetében döntött a képviselőtestület arról, hogy a 2016. évi költségkalkuláción alapuló támogatásról lemond és új pályázat kerül benyújtásra, továbbá elindítottuk a lakótelekprogramot, azonban telekértékesítés nem történt. </w:t>
      </w:r>
    </w:p>
    <w:p w14:paraId="15BE4C10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Mindezek tükrében, a torzító hatások kiküszöbölésével, a város bevételi terve megalapozottnak tekinthető, a ténylegesen realizált bevétel a tervezett előirányzat 93,9 %-a. </w:t>
      </w:r>
    </w:p>
    <w:p w14:paraId="4078C181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helyi adók vonatkozásában 24 945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eFt-tal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a lemaradás, illetve a két működési tárgyú EFOP-os projektek esetében a forrás lehívás/előleg az évvégéig nem haladta meg az 50 %-os arányt.</w:t>
      </w:r>
    </w:p>
    <w:p w14:paraId="73A44B7A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előző évi költségvetési maradvány igénybevétele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teljes körűen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megtörtént, nagyságrendje még mindig jelentős, de ez a forrás elkülönített számlán kezelt beruházási projekt előlegek, amelyek felhasználása kötött. </w:t>
      </w:r>
    </w:p>
    <w:p w14:paraId="00F06A74" w14:textId="77777777" w:rsidR="00E93092" w:rsidRDefault="00E93092" w:rsidP="00E93092">
      <w:pPr>
        <w:tabs>
          <w:tab w:val="right" w:pos="68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230A39B" w14:textId="77777777" w:rsidR="00E93092" w:rsidRDefault="00E93092" w:rsidP="00E93092">
      <w:pPr>
        <w:tabs>
          <w:tab w:val="center" w:pos="6946"/>
          <w:tab w:val="center" w:pos="8364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Az önkormányzati kötelező feladatellátáshoz kapcsolódó központi támogatás a benyújtott igény és az évközi teljesítménymutatók szerint korrigáltak szerint teljesült, a tényleges statisztikai és kihasználtsági adatok szerinti elszámolási kötelezettségre pedig tárgyévet követően kötelezett az önkormányzat. Az elszámolás eredménye nem járt visszafizetési kötelezettséggel, 7 787 </w:t>
      </w:r>
      <w:proofErr w:type="spellStart"/>
      <w:r>
        <w:rPr>
          <w:rFonts w:ascii="Arial" w:eastAsia="Calibri" w:hAnsi="Arial" w:cs="Arial"/>
          <w:sz w:val="24"/>
          <w:szCs w:val="24"/>
        </w:rPr>
        <w:t>eFt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többlet támogatásra voltunk jogosultak, főként az élelmezési feladatok kedvező kihasználtsági mutatóinak köszönhetően.</w:t>
      </w:r>
    </w:p>
    <w:p w14:paraId="3F014561" w14:textId="77777777" w:rsidR="00E93092" w:rsidRDefault="00E93092" w:rsidP="00E9309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Polgármesteri Hivatal bevételei jellemzően szolgáltatás tovább számlázása, illetve a társult települések hozzájárulása a gazdálkodási feladatok ellátásához, itt közel teljeskörű a teljesítés. </w:t>
      </w:r>
    </w:p>
    <w:p w14:paraId="2ECF77F0" w14:textId="77777777" w:rsidR="00E93092" w:rsidRDefault="00E93092" w:rsidP="00E9309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Lemaradás a Nők a családban tárgyú projekttámogatás jogcímen tapasztalható, a költségvetés a teljes támogatási összeget tartalmazza, azonban a kiutalt támogatás 50 %-os mértékű volt. A projekt végrehajtás már meghaladja ezt a mértéket, de szükségessé vált szerződésmódosítás kezdeményezése, annak jóváhagyásáig elszámolás nem nyújtható be.</w:t>
      </w:r>
    </w:p>
    <w:p w14:paraId="6838FE50" w14:textId="77777777" w:rsidR="00E93092" w:rsidRDefault="00E93092" w:rsidP="00E9309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Az intézmények meghatározó saját bevételei az ellátási díjak, illetve étkezési térítési díjbevétel, amely a tervezettek szerint realizálódott.</w:t>
      </w:r>
    </w:p>
    <w:p w14:paraId="6D8131E1" w14:textId="77777777" w:rsidR="00E93092" w:rsidRDefault="00E93092" w:rsidP="00E9309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0637762" w14:textId="77777777" w:rsidR="00E93092" w:rsidRDefault="00E93092" w:rsidP="00E930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Kiadási előirányzatok alakulása</w:t>
      </w:r>
    </w:p>
    <w:p w14:paraId="52E79AC8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29BCA1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Képviselő-testület az eredeti kiadási előirányzatot az önkormányzati költségvetési rendeletmódosításai során 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2 795 000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u-HU"/>
        </w:rPr>
        <w:t>eFt-tal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u-HU"/>
        </w:rPr>
        <w:t>növelte. A főösszeg változás egyrészt a visszaadott és újra benyújtott pályázatok prognosztizált támogatási összege, másrészt a beruházási projektek megvalósításához szükséges önerő/fejlesztési hitel.</w:t>
      </w:r>
    </w:p>
    <w:p w14:paraId="4E363B63" w14:textId="77777777" w:rsidR="00E93092" w:rsidRDefault="00E93092" w:rsidP="00E93092">
      <w:pPr>
        <w:tabs>
          <w:tab w:val="right" w:pos="73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1912912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u w:val="single"/>
          <w:lang w:eastAsia="hu-HU"/>
        </w:rPr>
      </w:pPr>
    </w:p>
    <w:p w14:paraId="08E164CB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Kiadások teljesítése (1. melléklet):</w:t>
      </w:r>
    </w:p>
    <w:p w14:paraId="49E47DA3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DB4B167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Önkormányzatunk költségvetési szervei a 2019. december 31-ig az összesen 8 827 567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összegű kiadási előirányzataik 54,75 %-át használták fel a Képviselő-testület által jóváhagyott feladataik végrehajtására.</w:t>
      </w:r>
    </w:p>
    <w:p w14:paraId="7806986D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Ezen belül az Önkormányzatnál 54,31%, a Polgármesteri Hivatalnál 76,4%, intézményeinknél 90,83 % a forrásfelhasználás.</w:t>
      </w:r>
    </w:p>
    <w:p w14:paraId="30128FE6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3273F99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önkormányzati szintű működési költségvetés év végi teljesítése 83,93 %, a felhalmozási előirányzat felhasználása 29,2 %, azzal, hogy a tartalékok állománya a felhalmozási költségvetésen belül 72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</w:p>
    <w:p w14:paraId="23BFB0A4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BE8582D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város működési költségvetési mérlege visszatükrözi a város gazdálkodási környezetének negatív irányú változását, a tárgyévi beszedett bevételek és felmerült költségek egyenlege negatív előjelű, annak finanszírozása az előző évek maradványából történt, ennek következménye, hogy tárgy évi megtakarítás, ami a következő költségvetési évben finanszírozási eszköz, nagy mértékben csökkent az előző évekhez képest.</w:t>
      </w:r>
    </w:p>
    <w:p w14:paraId="6B8B6C98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D1F08A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Önkormányzat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összesent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tekintve a működési maradvány 125 572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, ebből a hivatal megtakarítása kiutalatlan ellátmány és előző évi elvont pénzmaradvány visszafizetési kötelezettség figyelembevéve 36 577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, az intézményeké pedig 56 115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, amiből jól látszik, hogy az önkormányzat 2019. évi működési bevételei az évvégén a kiutalatlan ellátmány terhére volt képes finanszírozni a működési kiadásokat. Ha visszatekintünk a 2019. évi rendeletmódosításokra, még az évvégén is „előirányzathiányos” feladatok finanszírozását kellett megoldanunk, az évközi megtakarítások terhére és mindezek következménye, hogy a 2019. évnek szinte nincs pozitív áthúzódó hatása 2020. évre.</w:t>
      </w:r>
    </w:p>
    <w:p w14:paraId="3705B892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1869C17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felhalmozási mérleg a város költségvetési főösszegének 53,3 %-a volt 2019. évben az EU-s támogatások, fejlesztési hitel és előző évek „megtakarításának” köszönhetően.</w:t>
      </w:r>
    </w:p>
    <w:p w14:paraId="541F2381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jóváhagyott 4 712 383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rendelkezésre álló előirányzatból 1 376 036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valósult meg, azonban a két projekt kapcsán közel 1,5 md Forint összegben már a jóváhagyáskor ismert volt, hogy a megvalósítás nem a tárgy évben fog történni. Ezen torzító tényező figyelmen kívül hagyásával, a megvalósított beruházás a korrigált felhalmozási mérleg 42,8 %-a.</w:t>
      </w:r>
    </w:p>
    <w:p w14:paraId="49A1DD29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AE4ACE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fejlesztések vonatkozásban a finanszírozási eszköz pályázati forrás, illetve előző évek fejlesztési maradványa mellett 63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fejlesztési hitel volt.</w:t>
      </w:r>
    </w:p>
    <w:p w14:paraId="7678A3AA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2BA101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jóváhagyott fejlesztésekről, azok végrehajtásáról a 10-11. számú mellékletekben adunk részletes tájékoztatás, ezekben töltjük fel tartalommal a látványos főösszegű fejlesztési mérleget. </w:t>
      </w:r>
    </w:p>
    <w:p w14:paraId="5DCC5ABC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C1C10E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Összeségében a beszámoló visszatükrözi az elmúlt év gazdálkodási folyamatait, azt, hogy a 2019. év költségvetés módosításai jellemzően előirányzatok közötti átcsoportosítások voltak, hogy az évközben bizonyossá vált bevételi lemaradásokat </w:t>
      </w: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kompenzálni kellett, hogy a nem tervezett kiadásokat csak előirányzatok közötti átrendezésekkel tudtunk finanszírozni, hogy az évvégén likviditási nehézségeket kellett menedzselni. </w:t>
      </w:r>
    </w:p>
    <w:p w14:paraId="3B17F8FF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1B83058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Költségvetési maradvány:</w:t>
      </w:r>
    </w:p>
    <w:p w14:paraId="3223746A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</w:p>
    <w:p w14:paraId="1535D52F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kiadási megtakarítások, áthúzódó kötelezettségek, pályázati forrásmaradványok és bevételi lemaradások egyenlegeként 828 127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pénzmaradvánnyal zártuk az évet, amelyből intézményi ágon 39 742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, a hivatalnál 24 541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képződött, az önkormányzatnál pedig 763 844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</w:p>
    <w:p w14:paraId="4D403B46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költségvetési maradvány nagyságrendje még mindig jelentős, de ennek oka az eredményes pályázatok folyósított és még fel nem használt előlege. </w:t>
      </w:r>
    </w:p>
    <w:p w14:paraId="342EC60C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1707721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2020. évi eredeti költségvetésbe beterveztük az előző évi költségvetési maradványt, amelyet most a zárszámadási adatok tükrében 55 031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eFt-tal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korrigálunk, azonban ezen maradvány egyrészt az előző évben a tárgy év terhére megelőlegezett támogatás visszautalási kötelezettsége 31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összegben, továbbá a 2020. évi eredeti költségvetéskor figyelmen kívül maradt áthúzódó kötelezettség városi rendezvények jogcímen 8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összegben, a hivatalnál 1,2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 összegben és a  kötelezettséggel nem érintett 14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mFt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-ot pedig, mint szabad forrást az általános tartalékon javaslunk elkülöníteni a 2020. évi költségvetést módosító rendeletben.</w:t>
      </w:r>
    </w:p>
    <w:p w14:paraId="5296EC60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költségvetést módosító rendelet a pénzmaradvánnyal kapcsolatos főösszegnövelő hatást a költségvetési szervek közötti elvonás és visszautalás miatt „duplikáltan”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tartakmazza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02F71258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877563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2019. évi költségvetés végrehajtásáról a számszaki mellékletekben részletes tájékoztatást adtunk. Bemutattuk a teljesítési adatokat költségvetési szervenként, azon belül kiemelt előirányzatonként, működési és fejlesztés mérlegenként.</w:t>
      </w:r>
    </w:p>
    <w:p w14:paraId="76AF3260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Számot adtunk a támogatott projektek finanszírozásáról, a fejlesztésekről jogcímenként, azok finanszírozásról, az áthúzódó feladatokról, a folyósított működési és felhalmozási célú támogatásokról támogatott szervezetenként, a város több évre ívelő kötelezettségeiről, de mindez már a döntéshozók előtt ismert és már a múlt.</w:t>
      </w:r>
    </w:p>
    <w:p w14:paraId="3A2C94CC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551CC4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Mór Város Önkormányzat 2020. évi eredeti költségvetés tervezésekor az előző évi pozíciókat már számba vette, a zárszámadási rendelet a tárgy évre már minimális hatással van.</w:t>
      </w:r>
    </w:p>
    <w:p w14:paraId="6B3D700E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00B5A9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tervkészítés óta azonban a város gazdasági helyzete, tekintettel a járványügyi helyzetre, megváltozott. Amire most fókuszálni kell, a tárgy évi költségvetés végrehajtása, végrehajthatósága, fizetőképesség megőrzése. A költségvetés egyensúlyban tartása, a vállalt kötelezettségek teljesítése, a kötelező feladatok ellátása a döntéshozók felelőssége, és ehhez a végrehajtók – hivatal - részéről a döntések maradéktalan teljesítése, a gazdasági folyamatok folyamatos figyelése elengedhetetlen.</w:t>
      </w:r>
    </w:p>
    <w:p w14:paraId="4945CF83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636BA7F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Melyek azok a kormányzati döntések, amelyek hatással vannak városunk ez évi költségvetésére.</w:t>
      </w:r>
    </w:p>
    <w:p w14:paraId="4C9D4ED0" w14:textId="77777777" w:rsidR="00E93092" w:rsidRDefault="00E93092" w:rsidP="00E93092">
      <w:pPr>
        <w:tabs>
          <w:tab w:val="right" w:pos="68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9E54FA3" w14:textId="77777777" w:rsidR="00E93092" w:rsidRDefault="00E93092" w:rsidP="00E93092">
      <w:pPr>
        <w:suppressAutoHyphens/>
        <w:autoSpaceDN w:val="0"/>
        <w:spacing w:line="252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Gazdaságvédelmi Akcióterv keretében a koronavírus-járvány gazdasági hatásának mérséklése érdekében a kormány adózási könnyítésekről döntött, amely döntések hatással vannak a város költségvetési pozícióira.</w:t>
      </w:r>
    </w:p>
    <w:p w14:paraId="7D2D0464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Önkormányzati gazdálkodást érintő 92/2020.(IV.6.) Korm. rendelet az önkormányzatok által beszedett gépjárműadó elvonásáról döntött, ami azt jelenti, hogy az eredeti költségvetésünkbe forrásként tervezett 50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végleges lemaradás lesz.</w:t>
      </w:r>
    </w:p>
    <w:p w14:paraId="430E6AE9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140/2020(IV.21) Korm. rendeletben foglalt szabályozó rendszer pedig Mór Városi Önkormányzat eredeti költségvetésbe betervezett iparűzési adó előirányzat tárgyévi beszedési mértékét tette bizonytalanná. A hivatkozott rendelet szerint, az előző gazdasági évről szóló bevallás benyújtási határideje május 31.-ről szeptember 30.-ra módosult, továbbá az előző év alapján előírt előleg megfizetésére fizetési halasztási és részletfizetési lehetősége van az adóalanyoknak, amivel a tárgyévi befolyás/beszedés mértéke bizonytalan. </w:t>
      </w:r>
    </w:p>
    <w:p w14:paraId="1B284CC8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járványügyi helyzet miatt kialakult gazdasági környezet miatt pedig még azzal is kell számolni, hogy a 2019. évi bevallások alapján előírható adóbevétel csökkentésére is érkezik megkeresés az adózóktól, hiszen a szeptember 30.-ai határidőkor már jól prognosztizálható a 2020. évi jövedelmezőség, ami alapján adóelőleg mérséklést kérhetnek.</w:t>
      </w:r>
    </w:p>
    <w:p w14:paraId="741649DA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fentiekben leírtak miatt, azok kompenzálására és a tárgy év biztonságos működtetése érdekében a Polgármester Úr a 2020. költségvetésében 680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előirányzat zárolásáról döntött, amely főként a nem kötelező feladatok, illetve halasztható eredetileg önerős fejlesztések előirányzata. A zárolt előirányzatok terhére kötelezettség nem vállalható.</w:t>
      </w:r>
    </w:p>
    <w:p w14:paraId="161C2F0D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Jelenleg a zárolt előirányzat fedezetet nyújt a már számszerűsíthető 360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adóbevétellemaradás kompenzálására, illetve biztonsági tartalékot nyújt az adóelőlegcsökkentési, halasztás, részletfizetési kérelmek miatti adólemaradásra.</w:t>
      </w:r>
    </w:p>
    <w:p w14:paraId="5245CD21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Ez azonban csak előirányzatszíntű megközelítés, ami a fizetőképességet még nem biztosítja. A város működési költségvetése 4md Forint a tárgy évben, ennek finanszírozása 57 %-ban az adóbevételekből történik, a központi forrás 19,3 %-os arány finanszíroz, ez utóbbi pont elég a havi adó és járulékterhekre, vagyis a nettó finanszírozás keretében/rendszerében meg sem jelenik a város számláján ez a pénzeszköz.</w:t>
      </w:r>
    </w:p>
    <w:p w14:paraId="5ADB48CC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nézzük pénzforgalmi szemlélettel, ami már a fizetőképességet jelenti.</w:t>
      </w:r>
    </w:p>
    <w:p w14:paraId="2984A3D6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város jelenleg a kiadásait hitelből finanszírozza. A mai napon, 2020. június 17.-én, a június 15.-ei adó megfizetés esedékességét követően, a számlaegyenlegünk 188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hitelkeret. (</w:t>
      </w:r>
      <w:r>
        <w:rPr>
          <w:rFonts w:ascii="Arial" w:hAnsi="Arial" w:cs="Arial"/>
          <w:i/>
          <w:iCs/>
          <w:sz w:val="20"/>
          <w:szCs w:val="20"/>
        </w:rPr>
        <w:t xml:space="preserve">ez az összeg már tartalmazza az EFOP projekt lehívott 75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mFt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előlegének átvezetését</w:t>
      </w:r>
      <w:r>
        <w:rPr>
          <w:rFonts w:ascii="Arial" w:hAnsi="Arial" w:cs="Arial"/>
          <w:sz w:val="24"/>
          <w:szCs w:val="24"/>
        </w:rPr>
        <w:t xml:space="preserve">). Ebben az egyenlegben az esedékességig megfizetett adó megközelítően 50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, az előírt 210 </w:t>
      </w:r>
      <w:proofErr w:type="spellStart"/>
      <w:r>
        <w:rPr>
          <w:rFonts w:ascii="Arial" w:hAnsi="Arial" w:cs="Arial"/>
          <w:sz w:val="24"/>
          <w:szCs w:val="24"/>
        </w:rPr>
        <w:t>mFt-tal</w:t>
      </w:r>
      <w:proofErr w:type="spellEnd"/>
      <w:r>
        <w:rPr>
          <w:rFonts w:ascii="Arial" w:hAnsi="Arial" w:cs="Arial"/>
          <w:sz w:val="24"/>
          <w:szCs w:val="24"/>
        </w:rPr>
        <w:t xml:space="preserve"> szemben. A korábbi évek tapasztalatai alapján a 210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befolyását 15.-én vártuk. HIPA jogcímen 72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a „hátralék”, építményadót 110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-ot vártunk, befolyt 35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8E0788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Hitelkeret 50 </w:t>
      </w:r>
      <w:proofErr w:type="spellStart"/>
      <w:r>
        <w:rPr>
          <w:rFonts w:ascii="Arial" w:hAnsi="Arial" w:cs="Arial"/>
          <w:sz w:val="24"/>
          <w:szCs w:val="24"/>
        </w:rPr>
        <w:t>mFt-tal</w:t>
      </w:r>
      <w:proofErr w:type="spellEnd"/>
      <w:r>
        <w:rPr>
          <w:rFonts w:ascii="Arial" w:hAnsi="Arial" w:cs="Arial"/>
          <w:sz w:val="24"/>
          <w:szCs w:val="24"/>
        </w:rPr>
        <w:t xml:space="preserve"> történő emelését kezdeményeztünk a számlavezetőnél, illetve közműfejlesztési számlán levő 24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átmenetileg bevonható a gazdálkodásba, illetve </w:t>
      </w:r>
      <w:r>
        <w:rPr>
          <w:rFonts w:ascii="Arial" w:hAnsi="Arial" w:cs="Arial"/>
          <w:sz w:val="24"/>
          <w:szCs w:val="24"/>
        </w:rPr>
        <w:lastRenderedPageBreak/>
        <w:t xml:space="preserve">a már teljes összegben kifizetett támfal építésekhez kezdeményeztük a 40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támogatás lehívását, de a mai napon számba vehető megközelítően 300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finanszírozási eszköz a következő adók esedékességig nem elég, hiszen a havi nettó bér 76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3C3CE7D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jelenleg hátraléként kimutatható megközelítőleg 175 </w:t>
      </w:r>
      <w:proofErr w:type="spellStart"/>
      <w:r>
        <w:rPr>
          <w:rFonts w:ascii="Arial" w:hAnsi="Arial" w:cs="Arial"/>
          <w:sz w:val="24"/>
          <w:szCs w:val="24"/>
        </w:rPr>
        <w:t>mFt</w:t>
      </w:r>
      <w:proofErr w:type="spellEnd"/>
      <w:r>
        <w:rPr>
          <w:rFonts w:ascii="Arial" w:hAnsi="Arial" w:cs="Arial"/>
          <w:sz w:val="24"/>
          <w:szCs w:val="24"/>
        </w:rPr>
        <w:t xml:space="preserve"> adó beszedésére/inkasszálására a lehetőségünk a veszélyhelyzet megszűnését követő 30. nap után van, amennyiben addig az időpontig az adózó nem él a korábban említett adókönnyítés tárgyú megkereséssel.</w:t>
      </w:r>
    </w:p>
    <w:p w14:paraId="49D56255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 a következő időpont, amikor az újra számolás elengedhetetlen.</w:t>
      </w:r>
    </w:p>
    <w:p w14:paraId="1A2A3750" w14:textId="77777777" w:rsidR="00E93092" w:rsidRDefault="00E93092" w:rsidP="00E930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szeptember 15.-ei adóesedékességig pedig meg kell érkezni azoknak a kérelmeknek (adócsökkentési, halasztási, részletfizetési), amely alapján véglegesíthető a tárgy évi adóterv, aminek tükrében a zárolásokat át kell tekinteni.</w:t>
      </w:r>
    </w:p>
    <w:p w14:paraId="3EC938E7" w14:textId="77777777" w:rsidR="00E07FB7" w:rsidRPr="00E93092" w:rsidRDefault="00E07FB7" w:rsidP="00E93092"/>
    <w:sectPr w:rsidR="00E07FB7" w:rsidRPr="00E9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477D3"/>
    <w:multiLevelType w:val="hybridMultilevel"/>
    <w:tmpl w:val="93DA8FFA"/>
    <w:lvl w:ilvl="0" w:tplc="1F9AC20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C0721A7"/>
    <w:multiLevelType w:val="hybridMultilevel"/>
    <w:tmpl w:val="6C2C4E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BE4C115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C5"/>
    <w:rsid w:val="001978B7"/>
    <w:rsid w:val="00201F9F"/>
    <w:rsid w:val="003A2F48"/>
    <w:rsid w:val="004077CC"/>
    <w:rsid w:val="0042260C"/>
    <w:rsid w:val="00445AC5"/>
    <w:rsid w:val="004460EC"/>
    <w:rsid w:val="004B342D"/>
    <w:rsid w:val="00720062"/>
    <w:rsid w:val="008133BD"/>
    <w:rsid w:val="008476EB"/>
    <w:rsid w:val="00871CBA"/>
    <w:rsid w:val="009D3042"/>
    <w:rsid w:val="009E3087"/>
    <w:rsid w:val="00C32C53"/>
    <w:rsid w:val="00DE13A0"/>
    <w:rsid w:val="00E07FB7"/>
    <w:rsid w:val="00E41698"/>
    <w:rsid w:val="00E93092"/>
    <w:rsid w:val="00E94099"/>
    <w:rsid w:val="00F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D56E"/>
  <w15:chartTrackingRefBased/>
  <w15:docId w15:val="{FC81D946-F159-4A99-BE6E-E8D39C72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09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C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D304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Stettner Edina</dc:creator>
  <cp:keywords/>
  <dc:description/>
  <cp:lastModifiedBy>Stettner Edina</cp:lastModifiedBy>
  <cp:revision>2</cp:revision>
  <cp:lastPrinted>2020-06-25T12:11:00Z</cp:lastPrinted>
  <dcterms:created xsi:type="dcterms:W3CDTF">2020-06-25T12:11:00Z</dcterms:created>
  <dcterms:modified xsi:type="dcterms:W3CDTF">2020-06-25T12:11:00Z</dcterms:modified>
</cp:coreProperties>
</file>