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8B" w:rsidRPr="00162BB2" w:rsidRDefault="005B238B" w:rsidP="005B238B">
      <w:pPr>
        <w:rPr>
          <w:rFonts w:ascii="Garamond" w:hAnsi="Garamond" w:cs="Times New Roman"/>
          <w:sz w:val="24"/>
          <w:szCs w:val="24"/>
        </w:rPr>
      </w:pPr>
      <w:r w:rsidRPr="00162BB2">
        <w:rPr>
          <w:rFonts w:ascii="Garamond" w:hAnsi="Garamond" w:cs="Times New Roman"/>
          <w:sz w:val="24"/>
          <w:szCs w:val="24"/>
        </w:rPr>
        <w:t>3. sz. függelék</w:t>
      </w:r>
      <w:r w:rsidRPr="00162BB2">
        <w:rPr>
          <w:rFonts w:ascii="Garamond" w:hAnsi="Garamond" w:cs="Times New Roman"/>
          <w:sz w:val="24"/>
          <w:szCs w:val="24"/>
        </w:rPr>
        <w:fldChar w:fldCharType="begin"/>
      </w:r>
      <w:r w:rsidRPr="00162BB2">
        <w:rPr>
          <w:rFonts w:ascii="Garamond" w:hAnsi="Garamond" w:cs="Times New Roman"/>
          <w:sz w:val="24"/>
          <w:szCs w:val="24"/>
        </w:rPr>
        <w:instrText xml:space="preserve"> LINK Excel.SheetBinaryMacroEnabled.12 "D:\\Dokumentumok\\SZAKÉRTÉS\\Főépítészi megbizás\\Tolcsva\\TELEPÜLÉSKÉPI ARCULATI KÉZIKÖNYV\\egyedi_tajertek.csv" egyedi_tajertek!S1O1:S56O8 \a \f 5 \h  \* MERGEFORMAT </w:instrText>
      </w:r>
      <w:r w:rsidRPr="00162BB2">
        <w:rPr>
          <w:rFonts w:ascii="Garamond" w:hAnsi="Garamond" w:cs="Times New Roman"/>
          <w:sz w:val="24"/>
          <w:szCs w:val="24"/>
        </w:rPr>
        <w:fldChar w:fldCharType="separate"/>
      </w:r>
    </w:p>
    <w:tbl>
      <w:tblPr>
        <w:tblStyle w:val="Rcsostblzat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5954"/>
      </w:tblGrid>
      <w:tr w:rsidR="005B238B" w:rsidRPr="00162BB2" w:rsidTr="00830F15">
        <w:trPr>
          <w:trHeight w:val="456"/>
        </w:trPr>
        <w:tc>
          <w:tcPr>
            <w:tcW w:w="9039" w:type="dxa"/>
            <w:gridSpan w:val="3"/>
            <w:vAlign w:val="center"/>
          </w:tcPr>
          <w:p w:rsidR="005B238B" w:rsidRPr="00162BB2" w:rsidRDefault="005B238B" w:rsidP="00830F1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TOLCSVA EGYEDI TÁJÉRTÉK</w:t>
            </w:r>
          </w:p>
        </w:tc>
      </w:tr>
      <w:tr w:rsidR="005B238B" w:rsidRPr="00162BB2" w:rsidTr="00830F15">
        <w:trPr>
          <w:trHeight w:val="265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Név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Pontos helyszín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Főbb jellemzők</w:t>
            </w:r>
          </w:p>
        </w:tc>
      </w:tr>
      <w:tr w:rsidR="005B238B" w:rsidRPr="00162BB2" w:rsidTr="00830F15">
        <w:trPr>
          <w:trHeight w:val="1134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ind w:right="0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Tűzoltó torony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tabs>
                <w:tab w:val="left" w:pos="1627"/>
              </w:tabs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 Szabadság tér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tabs>
                <w:tab w:val="left" w:pos="5442"/>
              </w:tabs>
              <w:ind w:right="-12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1880-as években épült torony zömök, alacsony, négyszögletes alaprajzú, </w:t>
            </w:r>
          </w:p>
          <w:p w:rsidR="005B238B" w:rsidRPr="00162BB2" w:rsidRDefault="005B238B" w:rsidP="00830F15">
            <w:pPr>
              <w:tabs>
                <w:tab w:val="left" w:pos="5442"/>
              </w:tabs>
              <w:ind w:right="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2 szintes épület. Az emelet nyolcszög alaprajzú. Az épületet középpontból a négy oldal felé futó összetett nyeregtető zárja, aminek csúcsán található a tűzvigyázó kilátópont, amelyet kovácsolt vas korlát vesz körül. A bejárat mellett kis emléktábla hirdeti az egyesület fennállásának 100. évfordulóját.</w:t>
            </w:r>
          </w:p>
        </w:tc>
      </w:tr>
      <w:tr w:rsidR="005B238B" w:rsidRPr="00162BB2" w:rsidTr="00830F15">
        <w:trPr>
          <w:trHeight w:val="979"/>
        </w:trPr>
        <w:tc>
          <w:tcPr>
            <w:tcW w:w="1242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Tilalmas fürdő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Az Elő-hegy és a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Kopaszka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dűlő közötti völgyben, a belterülettől 700 méterre keletre.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tabs>
                <w:tab w:val="left" w:pos="5442"/>
              </w:tabs>
              <w:ind w:right="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Egy 1794-ben Tolcsva határában már köszvényt gyógyító fürdő működött a Tilalmas-fürdő helyén. A 19. század második felétől a kedvelt közfürdőként üzemelt. Szirmay Ádámnénak kocsmája volt itt. A 8 kádas fürdőépület, a különleges, ipartörténeti jelentőségű melegítő berendezés, a fürdő mellé épített különálló nagy táncterem mára teljesen elpusztult, elhagyatott. </w:t>
            </w:r>
          </w:p>
        </w:tc>
      </w:tr>
      <w:tr w:rsidR="005B238B" w:rsidRPr="00162BB2" w:rsidTr="00830F15">
        <w:trPr>
          <w:trHeight w:val="515"/>
        </w:trPr>
        <w:tc>
          <w:tcPr>
            <w:tcW w:w="1242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Nagykő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tabs>
                <w:tab w:val="left" w:pos="1735"/>
              </w:tabs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A Nagy-kő-oldal dűlő, a Bába-kúttól 350 m..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ind w:right="34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Nagy-kő-oldal DK felé lejtő oldalán kiemelkedő rövid gerinc csúcsán álló vulkanikus sziklaalakzat. </w:t>
            </w:r>
          </w:p>
        </w:tc>
      </w:tr>
      <w:tr w:rsidR="005B238B" w:rsidRPr="00162BB2" w:rsidTr="00830F15">
        <w:trPr>
          <w:trHeight w:val="1402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tabs>
                <w:tab w:val="left" w:pos="1026"/>
              </w:tabs>
              <w:ind w:right="0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Dessewffy-kastély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tabs>
                <w:tab w:val="left" w:pos="1593"/>
              </w:tabs>
              <w:ind w:right="0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Szent Imre u. 4.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spacing w:before="100" w:beforeAutospacing="1" w:after="100" w:afterAutospacing="1"/>
              <w:ind w:right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Bónis Ferenc 1659-ben építtette. Bónis Ferencet 1671-ben a Wesselényi-féle mozgalomban való részvétele miatt kivégezték, özvegye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Uszfalussy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Uz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Istvánhoz, majd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Semsey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Györgyhöz ment férjhez, így a XVIII. század elejétől a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Semsey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családé volt. 1711-ben Szirmay István, a Rákóczi család bizalmasa,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unokaöccsére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, Szirmay Andrásra hagyta. A XIX. században került a Dessewffy család tulajdonába, akik saját igényeik szerint alakíttatták át. </w:t>
            </w:r>
          </w:p>
        </w:tc>
      </w:tr>
      <w:tr w:rsidR="005B238B" w:rsidRPr="00162BB2" w:rsidTr="00830F15">
        <w:trPr>
          <w:trHeight w:val="1268"/>
        </w:trPr>
        <w:tc>
          <w:tcPr>
            <w:tcW w:w="1242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I. világháborús emlékmű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Szabadság tér.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tabs>
                <w:tab w:val="left" w:pos="5846"/>
              </w:tabs>
              <w:ind w:right="-12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Négyszögletes terméskő alapon kocka alakú elem áll, amelynek első oldalán A HAZÁÉRT felirat olvasható,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bebérkoszorú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alakú mintával körülvéve. Az emlékmű felső része egy obeliszk, melynek tetején párkány fut körbe, legfelül a Szent Koronára emlékeztető, fémből készült korona található. Az oszlop első oldalán az elhunytak neve, oldalain hegyükre állított kard motívumok láthatók. </w:t>
            </w:r>
          </w:p>
        </w:tc>
      </w:tr>
      <w:tr w:rsidR="005B238B" w:rsidRPr="00162BB2" w:rsidTr="00830F15">
        <w:trPr>
          <w:trHeight w:val="935"/>
        </w:trPr>
        <w:tc>
          <w:tcPr>
            <w:tcW w:w="1242" w:type="dxa"/>
          </w:tcPr>
          <w:p w:rsidR="005B238B" w:rsidRPr="00162BB2" w:rsidRDefault="005B238B" w:rsidP="00830F15">
            <w:pPr>
              <w:tabs>
                <w:tab w:val="left" w:pos="1134"/>
              </w:tabs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Klapka György utcai hagyományos lakóház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tabs>
                <w:tab w:val="left" w:pos="1593"/>
                <w:tab w:val="left" w:pos="1627"/>
              </w:tabs>
              <w:ind w:right="0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Klapka György u. 33.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ind w:right="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Csonkakontyolt,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lemezborításos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nyeregtetővel fedett lakóház. Oromzata deszkázott. Az utcafronti homlokzaton az ablakok körül vakolatkeret, az oromzat alatt lépcsőzetes párkány található. Az ablak mellett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pilaszteres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vakolatdísz. A ház oldalán, az eresz alján fűrészelt fa díszítősor húzódik.</w:t>
            </w:r>
          </w:p>
        </w:tc>
      </w:tr>
      <w:tr w:rsidR="005B238B" w:rsidRPr="00162BB2" w:rsidTr="00830F15">
        <w:trPr>
          <w:trHeight w:val="523"/>
        </w:trPr>
        <w:tc>
          <w:tcPr>
            <w:tcW w:w="1242" w:type="dxa"/>
          </w:tcPr>
          <w:p w:rsidR="005B238B" w:rsidRPr="00162BB2" w:rsidRDefault="005B238B" w:rsidP="00830F15">
            <w:pPr>
              <w:tabs>
                <w:tab w:val="left" w:pos="1026"/>
              </w:tabs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Táncsics utcai lakóház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Táncics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u. 19.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tabs>
                <w:tab w:val="left" w:pos="5738"/>
              </w:tabs>
              <w:ind w:right="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Vályog lakóház és istálló. A lakóház nyeregtetős, héjazata lemez, az istálló cserép borítású. Az utcafronti homlokzat fűrészelt deszka oromzattal.</w:t>
            </w:r>
          </w:p>
        </w:tc>
      </w:tr>
      <w:tr w:rsidR="005B238B" w:rsidRPr="00162BB2" w:rsidTr="00830F15">
        <w:trPr>
          <w:trHeight w:val="833"/>
        </w:trPr>
        <w:tc>
          <w:tcPr>
            <w:tcW w:w="1242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Ős Kaján Étterem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Kossuth u. 14-16.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tabs>
                <w:tab w:val="left" w:pos="5738"/>
              </w:tabs>
              <w:ind w:right="-108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termésk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épületet a francia tulajdonos újította fel, éttermet alakított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kii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benne. Az épületek rusztikus stílusát kívül, belül meghagyták, az utcafronton lévő faragott fa keretes ablakok körül stukkó díszek kerültek elhelyezésre, melyek jellegzetes motívuma a szigorú tekintetű emberi arc. </w:t>
            </w:r>
          </w:p>
        </w:tc>
      </w:tr>
      <w:tr w:rsidR="005B238B" w:rsidRPr="00162BB2" w:rsidTr="00830F15">
        <w:trPr>
          <w:trHeight w:val="833"/>
        </w:trPr>
        <w:tc>
          <w:tcPr>
            <w:tcW w:w="1242" w:type="dxa"/>
          </w:tcPr>
          <w:p w:rsidR="005B238B" w:rsidRPr="00162BB2" w:rsidRDefault="005B238B" w:rsidP="00830F15">
            <w:pPr>
              <w:tabs>
                <w:tab w:val="left" w:pos="1134"/>
              </w:tabs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lastRenderedPageBreak/>
              <w:t>lakóház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Kossuth u. 1.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ind w:right="-108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kb. 150 nm alapterületű, nyeregtetős, terméskő épület és a mellette álló s melléképület, valamint a kőkerítés egyedi megjelenésű. A főépület utcafronti homlokzata </w:t>
            </w:r>
            <w:proofErr w:type="gramStart"/>
            <w:r w:rsidRPr="00162BB2">
              <w:rPr>
                <w:rFonts w:ascii="Garamond" w:hAnsi="Garamond"/>
                <w:sz w:val="24"/>
                <w:szCs w:val="24"/>
              </w:rPr>
              <w:t>terméskő ,</w:t>
            </w:r>
            <w:proofErr w:type="gramEnd"/>
            <w:r w:rsidRPr="00162BB2">
              <w:rPr>
                <w:rFonts w:ascii="Garamond" w:hAnsi="Garamond"/>
                <w:sz w:val="24"/>
                <w:szCs w:val="24"/>
              </w:rPr>
              <w:t xml:space="preserve"> az Ős Kaján Étteremmel megegyező díszítéseket visel. </w:t>
            </w:r>
          </w:p>
        </w:tc>
      </w:tr>
      <w:tr w:rsidR="005B238B" w:rsidRPr="00162BB2" w:rsidTr="00830F15">
        <w:trPr>
          <w:trHeight w:val="426"/>
        </w:trPr>
        <w:tc>
          <w:tcPr>
            <w:tcW w:w="1242" w:type="dxa"/>
          </w:tcPr>
          <w:p w:rsidR="005B238B" w:rsidRPr="00162BB2" w:rsidRDefault="005B238B" w:rsidP="00830F15">
            <w:pPr>
              <w:ind w:right="-108" w:hanging="142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Kincsem-borház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A Kincsem dűlő tetején, 025/8 HRSZ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XIX. század derekán épült kétszintes klasszicista épület, melynek fő homlokzatát négy dór oszlopos timpanonos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portikusz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dísziti.</w:t>
            </w:r>
          </w:p>
        </w:tc>
      </w:tr>
      <w:tr w:rsidR="005B238B" w:rsidRPr="00162BB2" w:rsidTr="00830F15">
        <w:trPr>
          <w:trHeight w:val="833"/>
        </w:trPr>
        <w:tc>
          <w:tcPr>
            <w:tcW w:w="1242" w:type="dxa"/>
          </w:tcPr>
          <w:p w:rsidR="005B238B" w:rsidRPr="00162BB2" w:rsidRDefault="005B238B" w:rsidP="00830F15">
            <w:pPr>
              <w:ind w:right="-108" w:hanging="142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Görög katolikus templom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Táncsics u. 44.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tabs>
                <w:tab w:val="left" w:pos="5704"/>
              </w:tabs>
              <w:ind w:right="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1745-ben alapították a lelkészséget. E vallási közösséghez tartoztak a nevezetes görög Constantin család, tagjai, akik az egyház vezetésében fontos szerepet játszottak. </w:t>
            </w:r>
          </w:p>
        </w:tc>
      </w:tr>
      <w:tr w:rsidR="005B238B" w:rsidRPr="00162BB2" w:rsidTr="00830F15">
        <w:trPr>
          <w:trHeight w:val="833"/>
        </w:trPr>
        <w:tc>
          <w:tcPr>
            <w:tcW w:w="1242" w:type="dxa"/>
          </w:tcPr>
          <w:p w:rsidR="005B238B" w:rsidRPr="00162BB2" w:rsidRDefault="005B238B" w:rsidP="00830F15">
            <w:pPr>
              <w:ind w:right="-108" w:hanging="142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Bacchus szobor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Petőfi utca.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tabs>
                <w:tab w:val="left" w:pos="5442"/>
              </w:tabs>
              <w:ind w:right="-120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bor római istenét ábrázoló faragott fa szobor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Sárossy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Tibor szobrászművész alkotása. A szobor talapzatán kis tábla, melyen a következő áll: Tolcsva-Erdőhorváti/ Hegyközség/ Állítva/ 2001.</w:t>
            </w:r>
          </w:p>
        </w:tc>
      </w:tr>
      <w:tr w:rsidR="005B238B" w:rsidRPr="00162BB2" w:rsidTr="00830F15">
        <w:trPr>
          <w:trHeight w:val="833"/>
        </w:trPr>
        <w:tc>
          <w:tcPr>
            <w:tcW w:w="1242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Világörökségi pincesor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Ady Endre utca.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tabs>
                <w:tab w:val="left" w:pos="5738"/>
              </w:tabs>
              <w:ind w:right="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pincék a 827777/329777-827687/329977-827930/330024 sarokponti koordinátákkal lehatárolható háromszög területén helyezkednek el. Az eredetileg kisebb családi pincéket a 19. század végén, 20. század elején vágták egybe. A 8-30 méter mély, vulkáni tufába vájt pincejáratok a 13. és a 17. századból. Megtalálható bennük a borhoz kötődő építészetnek a tokaji borvidékre jellemző valamennyi eleme. A tiszta levegőt a léleklyukak biztosítják. A pincék viszonylag sűrűn állnak egymás mellett, támfalaik sok helyen teljesen egybeolvadnak. </w:t>
            </w:r>
          </w:p>
        </w:tc>
      </w:tr>
      <w:tr w:rsidR="005B238B" w:rsidRPr="00162BB2" w:rsidTr="00830F15">
        <w:trPr>
          <w:trHeight w:val="566"/>
        </w:trPr>
        <w:tc>
          <w:tcPr>
            <w:tcW w:w="1242" w:type="dxa"/>
          </w:tcPr>
          <w:p w:rsidR="005B238B" w:rsidRPr="00162BB2" w:rsidRDefault="005B238B" w:rsidP="00830F15">
            <w:pPr>
              <w:tabs>
                <w:tab w:val="left" w:pos="1026"/>
              </w:tabs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Bába-kút</w:t>
            </w:r>
          </w:p>
        </w:tc>
        <w:tc>
          <w:tcPr>
            <w:tcW w:w="1843" w:type="dxa"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Az Elő-hegy dűlő keleti oldalán található völgy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főjén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5B238B" w:rsidRPr="00162BB2" w:rsidRDefault="005B238B" w:rsidP="00830F15">
            <w:pPr>
              <w:ind w:right="-108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forrást egymásra rakott terméskövekből, kötőanyag használata nélkül rakták. A tetejét nagy lapos kő fedi. A Bába-kút a környék egyik legrégebb forrásfoglalása, dűlőt is neveztek el róla. </w:t>
            </w:r>
          </w:p>
        </w:tc>
      </w:tr>
      <w:tr w:rsidR="005B238B" w:rsidRPr="00162BB2" w:rsidTr="00830F15">
        <w:trPr>
          <w:trHeight w:val="3260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Bormúzeum és Borászati Kultúra háza 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Kossuth u. 32.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tabs>
                <w:tab w:val="left" w:pos="5442"/>
              </w:tabs>
              <w:ind w:right="0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Tolcsvai Bormúzeum Hegyalja legjelentősebb borászati bemutatóhelye. Láthatók itt 17. századi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zerszámok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, a XIX. század elején készült prések, regéci üvegpalackok, egy palack 17. század végi tokaji aszú és az 1904-20 közötti muzeális borok készlete. Tokaj-Hegyalja egyik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legrégebbi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és legnevesebb pincéje négy pincéből áll. A fő ág a Constantin, a másik az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Adrianyi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, a kettőt összekötő ág a felső Rákóczi pince, de az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Adriányi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pincével összeköttetésben áll a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Liebmann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pince is. A Constantin pince nevét a XVI. században Macedóniából Magyarországra települt gazdag görög kereskedő családról kapta, melynek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leszármazottai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sokat tettek Tolcsva virágzó borászatáért. A pince közel 1000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fm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, kivájt pince, melyben több ezer palack muzeális bort tárolnak, valamint 999 db. fahordóban érik, fejlődik az úgynevezett muzeálisnak jelölt bor. A pincészetben tárolt borok rendkívül nagy értékkel bírnak. Fellelhető a pincénkben az 1900-as évek elejéről származó termékek, illetve vannak 1906, 1912, 1915, 1920, 1936, 1937, 1940, 1942 stb. évjáratú borok is. A pincében tárolt borok több mint 80 %-a három, négy, öt és hat puttonyos aszúk kategóriájába tartozik. Jelentős készlet van, régi évjáratú aszúeszenciákból is. </w:t>
            </w:r>
          </w:p>
        </w:tc>
      </w:tr>
      <w:tr w:rsidR="005B238B" w:rsidRPr="00162BB2" w:rsidTr="00830F15">
        <w:trPr>
          <w:trHeight w:val="1262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lastRenderedPageBreak/>
              <w:t>Királyudvar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Kossuth L. u. 63.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spacing w:before="100" w:beforeAutospacing="1" w:after="100" w:afterAutospacing="1"/>
              <w:ind w:right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XVII. század felső-magyarországi építészetének jellegzetes építménye. Az egykori kastélyudvart és kertet övező kőfalból csak kis részek állnak és a régi telekre új lakó- és gazdasági épületek kerültek az elmúlt több mint fél évszázadban. Építési ideje nem ismert, de a Rákóczi család már a XVII. század második évtizedétől Tolcsva birtokosa volt. A fennmaradt gazdasági feljegyzések szerint feltehetően a kassai, eperjesi vagy lőcsei mesterek építették. A műemlék helyreállítása 1960-ban történt meg.</w:t>
            </w:r>
          </w:p>
        </w:tc>
      </w:tr>
      <w:tr w:rsidR="005B238B" w:rsidRPr="00162BB2" w:rsidTr="00830F15">
        <w:trPr>
          <w:trHeight w:val="1069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Kurucz-kastély és környezete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ind w:right="-108" w:hanging="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Bajcsy-Zsilinszky u. 45.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Részben alápincézett, földszintes, közel négyzetes alaprajzú, cserépfedésű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sátortetős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épület, keleti oldalán timpanonnal lezárt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portikusszal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. Klasszicista stílusban 1830 körül épülhetett. Fő homlokzatának tengelyében négy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korinthuszi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oszloppal alátámasztott timpanonos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portikusszal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hangsúlyozott bejárat díszíti.</w:t>
            </w:r>
          </w:p>
        </w:tc>
      </w:tr>
      <w:tr w:rsidR="005B238B" w:rsidRPr="00162BB2" w:rsidTr="00830F15">
        <w:trPr>
          <w:trHeight w:val="1693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tabs>
                <w:tab w:val="left" w:pos="1026"/>
                <w:tab w:val="left" w:pos="1134"/>
              </w:tabs>
              <w:ind w:right="-108" w:hanging="142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Római katolikus templom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Bajcsy-Zsilinszky u.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spacing w:before="100" w:beforeAutospacing="1" w:after="100" w:afterAutospacing="1"/>
              <w:ind w:right="0"/>
              <w:jc w:val="left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Gótikus plébánia templom a XIV. században épülhetett. XVIII. századi barokk-kori átépítésű a torony fagalériája és zsindelyfedésű sisakja is. Belső tereit az ablakokban lévő színes üvegek és a mennyezeten található freskók teszik még különlegesebbé. Több harangja közül a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legrégebbi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1655-ből való, amit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Wierd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György harangöntő mester öntött Eperjesen. A római katolikus egyház 1437-től működik a településen, ekkortól már biztosan temploma is volt. A templom Kisboldogasszony tiszteletére lett szentelve. Nevezetes esemény volt a település és a templom életében, hogy 1806. március 14-15-én itt őrizték a magyar szent koronát.</w:t>
            </w:r>
          </w:p>
        </w:tc>
      </w:tr>
      <w:tr w:rsidR="005B238B" w:rsidRPr="00162BB2" w:rsidTr="00830F15">
        <w:trPr>
          <w:trHeight w:val="1417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tabs>
                <w:tab w:val="left" w:pos="1026"/>
              </w:tabs>
              <w:ind w:right="-108" w:hanging="142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Szirmay-kastély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Kossuth L. u. 37.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spacing w:before="100" w:beforeAutospacing="1" w:after="100" w:afterAutospacing="1"/>
              <w:ind w:right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 barokk eredetű, klasszicista stílusú kastélyt 1820 körül Szirmay Ádám építtette. A XIX. század végén báró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Waldbott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Frigyes eklektikus átalakításokat, bővítéseket hajtott végre az épületen, ami így nyerte el jelenlegi formáját. A környezeti beépítettség ellenére ma is nagyméretű telek, kert veszi körül, ahol még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láthatóak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az egykori kastélypark idős fái. Számos rendezvénynek ez a park ad otthont és itt található egy a kastélyhoz tartozó, terméskőből épült pince is. </w:t>
            </w:r>
          </w:p>
        </w:tc>
      </w:tr>
      <w:tr w:rsidR="005B238B" w:rsidRPr="00162BB2" w:rsidTr="00830F15">
        <w:trPr>
          <w:trHeight w:val="1116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ind w:left="-142" w:right="-108"/>
              <w:jc w:val="center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Református templom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Kossuth L. utca.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spacing w:before="100" w:beforeAutospacing="1" w:after="100" w:afterAutospacing="1"/>
              <w:ind w:right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tolcsvai</w:t>
            </w:r>
            <w:proofErr w:type="spellEnd"/>
            <w:r w:rsidRPr="00162B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református egyházközösség 1563-tól működik. Az ellenreformáció idején Báthory Zsófia a katolikus hitre áttérve a templomot átadta, így 1671-1705 között a katolikus hívek használatában volt. A hívek 1714-től egy présházból átépített oratóriumot használtak. A mai templom csak később, a korábbi templom leégése után, 1864-ben épült.</w:t>
            </w:r>
          </w:p>
        </w:tc>
      </w:tr>
      <w:tr w:rsidR="005B238B" w:rsidRPr="00162BB2" w:rsidTr="00830F15">
        <w:trPr>
          <w:trHeight w:val="1274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ind w:right="-108" w:hanging="142"/>
              <w:jc w:val="center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Római katolikus kápolna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Temető.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tabs>
                <w:tab w:val="left" w:pos="5704"/>
              </w:tabs>
              <w:ind w:right="-108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Neoromán stílusban épült kápolna. Szürke terméskőből épült. A homlokzati oldalon két támpillér található. A bejárat fából készült díszes faragásokkal. A homlokzat a kápolna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nyeregteteje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mentén záródik a toronyhoz. A tornyon, a bejárat felett feliratmező található, benne a JÉZUS SZENT SZÍVÉNEK/ 1936 felirat olvasható. A tornyon és a kápolna oldalain egyforma, keskeny, állított téglalap alakú, enyhén csúcsívesen záródó ablakok találhatók. A torony sisakját fémlemezek borítják. </w:t>
            </w:r>
          </w:p>
        </w:tc>
      </w:tr>
      <w:tr w:rsidR="005B238B" w:rsidRPr="00162BB2" w:rsidTr="00830F15">
        <w:trPr>
          <w:trHeight w:val="528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tabs>
                <w:tab w:val="left" w:pos="1026"/>
              </w:tabs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lastRenderedPageBreak/>
              <w:t>Keleti pinceegyüttes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Kopaszka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 xml:space="preserve"> dűlő. 019/a HRSZ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ind w:right="-108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település keleti külterületével határosan kilenc pincéből álló együttes. Bejárati homlokzatuk általában helyi terméskőből készült. Ajtajaik ráccsal védettek. </w:t>
            </w:r>
          </w:p>
        </w:tc>
      </w:tr>
      <w:tr w:rsidR="005B238B" w:rsidRPr="00162BB2" w:rsidTr="00830F15">
        <w:trPr>
          <w:trHeight w:val="699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tabs>
                <w:tab w:val="left" w:pos="1026"/>
              </w:tabs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Petőfi utcai pincesor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Petőfi S. utca déli része.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tabs>
                <w:tab w:val="left" w:pos="5738"/>
              </w:tabs>
              <w:ind w:right="-108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településre bevezető főútvonal mellett, öt pincéből álló pincesor. A pincék bejárata terméskőből rakott. A felszíni szellőzőnyílásokat terméskőből alakították ki. Az egyik pince bejárata felett dátum és </w:t>
            </w:r>
            <w:proofErr w:type="spellStart"/>
            <w:r w:rsidRPr="00162BB2">
              <w:rPr>
                <w:rFonts w:ascii="Garamond" w:hAnsi="Garamond"/>
                <w:sz w:val="24"/>
                <w:szCs w:val="24"/>
              </w:rPr>
              <w:t>monograml</w:t>
            </w:r>
            <w:proofErr w:type="spellEnd"/>
            <w:r w:rsidRPr="00162BB2">
              <w:rPr>
                <w:rFonts w:ascii="Garamond" w:hAnsi="Garamond"/>
                <w:sz w:val="24"/>
                <w:szCs w:val="24"/>
              </w:rPr>
              <w:t>: 1905. SM</w:t>
            </w:r>
          </w:p>
        </w:tc>
      </w:tr>
      <w:tr w:rsidR="005B238B" w:rsidRPr="00162BB2" w:rsidTr="00830F15">
        <w:trPr>
          <w:trHeight w:val="850"/>
        </w:trPr>
        <w:tc>
          <w:tcPr>
            <w:tcW w:w="1242" w:type="dxa"/>
            <w:hideMark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Arany János utcai pincesor</w:t>
            </w:r>
          </w:p>
        </w:tc>
        <w:tc>
          <w:tcPr>
            <w:tcW w:w="1843" w:type="dxa"/>
            <w:hideMark/>
          </w:tcPr>
          <w:p w:rsidR="005B238B" w:rsidRPr="00162BB2" w:rsidRDefault="005B238B" w:rsidP="00830F15">
            <w:pPr>
              <w:ind w:right="-108"/>
              <w:jc w:val="left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>Arany J. utca, a temető mellett.</w:t>
            </w:r>
          </w:p>
        </w:tc>
        <w:tc>
          <w:tcPr>
            <w:tcW w:w="5954" w:type="dxa"/>
            <w:hideMark/>
          </w:tcPr>
          <w:p w:rsidR="005B238B" w:rsidRPr="00162BB2" w:rsidRDefault="005B238B" w:rsidP="00830F15">
            <w:pPr>
              <w:ind w:right="-108"/>
              <w:jc w:val="both"/>
              <w:rPr>
                <w:rFonts w:ascii="Garamond" w:hAnsi="Garamond"/>
                <w:sz w:val="24"/>
                <w:szCs w:val="24"/>
              </w:rPr>
            </w:pPr>
            <w:r w:rsidRPr="00162BB2">
              <w:rPr>
                <w:rFonts w:ascii="Garamond" w:hAnsi="Garamond"/>
                <w:sz w:val="24"/>
                <w:szCs w:val="24"/>
              </w:rPr>
              <w:t xml:space="preserve">A 10 pincéből álló együttes az izraelita és a katolikus temetők alatt helyezkedik el. A pincék három egymás alatti sorban helyezkednek el. A pincebejáratok szinte mindegyike terméskőből rakott, a bejáratokat körülvevő támfal teteje nyeregtető-szerűen záródik. A bejárat többé-kevésbé díszes kovácsoltvas ráccsal zárható. </w:t>
            </w:r>
          </w:p>
        </w:tc>
      </w:tr>
    </w:tbl>
    <w:p w:rsidR="007E6B41" w:rsidRDefault="005B238B">
      <w:r w:rsidRPr="00162BB2">
        <w:rPr>
          <w:rFonts w:ascii="Garamond" w:hAnsi="Garamond"/>
          <w:sz w:val="24"/>
          <w:szCs w:val="24"/>
        </w:rPr>
        <w:fldChar w:fldCharType="end"/>
      </w:r>
      <w:bookmarkStart w:id="0" w:name="_GoBack"/>
      <w:bookmarkEnd w:id="0"/>
    </w:p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8B"/>
    <w:rsid w:val="005B238B"/>
    <w:rsid w:val="007E6B41"/>
    <w:rsid w:val="008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5986F-D09C-4228-8E19-A4123C0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238B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B238B"/>
    <w:pPr>
      <w:spacing w:after="0" w:line="240" w:lineRule="auto"/>
      <w:ind w:right="357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8623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1</cp:revision>
  <dcterms:created xsi:type="dcterms:W3CDTF">2017-12-21T13:16:00Z</dcterms:created>
  <dcterms:modified xsi:type="dcterms:W3CDTF">2017-12-21T13:16:00Z</dcterms:modified>
</cp:coreProperties>
</file>