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F1" w:rsidRPr="002149F6" w:rsidRDefault="009D15F1" w:rsidP="009D1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Győ</w:t>
      </w:r>
      <w:r w:rsidRPr="002149F6">
        <w:rPr>
          <w:rFonts w:ascii="Times New Roman" w:hAnsi="Times New Roman"/>
          <w:b/>
          <w:sz w:val="24"/>
          <w:szCs w:val="24"/>
        </w:rPr>
        <w:t>r-Moson-Sopron Megyei Önkormányzat Közgyűlésének</w:t>
      </w:r>
    </w:p>
    <w:p w:rsidR="009D15F1" w:rsidRPr="002149F6" w:rsidRDefault="009D15F1" w:rsidP="009D15F1">
      <w:pPr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F96667">
        <w:rPr>
          <w:rFonts w:ascii="Times New Roman" w:hAnsi="Times New Roman"/>
          <w:b/>
          <w:sz w:val="24"/>
          <w:szCs w:val="24"/>
        </w:rPr>
        <w:t>/2020</w:t>
      </w:r>
      <w:r w:rsidRPr="002149F6">
        <w:rPr>
          <w:rFonts w:ascii="Times New Roman" w:hAnsi="Times New Roman"/>
          <w:b/>
          <w:sz w:val="24"/>
          <w:szCs w:val="24"/>
        </w:rPr>
        <w:t xml:space="preserve">. (II. </w:t>
      </w:r>
      <w:r w:rsidR="00F96667">
        <w:rPr>
          <w:rFonts w:ascii="Times New Roman" w:hAnsi="Times New Roman"/>
          <w:b/>
          <w:sz w:val="24"/>
          <w:szCs w:val="24"/>
        </w:rPr>
        <w:t>24</w:t>
      </w:r>
      <w:r w:rsidR="006944F4">
        <w:rPr>
          <w:rFonts w:ascii="Times New Roman" w:hAnsi="Times New Roman"/>
          <w:b/>
          <w:sz w:val="24"/>
          <w:szCs w:val="24"/>
        </w:rPr>
        <w:t>.</w:t>
      </w:r>
      <w:r w:rsidRPr="002149F6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önkormányzati</w:t>
      </w:r>
      <w:r w:rsidRPr="002149F6">
        <w:rPr>
          <w:rFonts w:ascii="Times New Roman" w:hAnsi="Times New Roman"/>
          <w:b/>
          <w:sz w:val="24"/>
          <w:szCs w:val="24"/>
        </w:rPr>
        <w:t xml:space="preserve"> rendelete</w:t>
      </w:r>
    </w:p>
    <w:p w:rsidR="009D15F1" w:rsidRPr="002149F6" w:rsidRDefault="009D15F1" w:rsidP="009D15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15F1" w:rsidRPr="002149F6" w:rsidRDefault="009D15F1" w:rsidP="009D1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Pr="002149F6">
        <w:rPr>
          <w:rFonts w:ascii="Times New Roman" w:hAnsi="Times New Roman"/>
          <w:b/>
          <w:sz w:val="24"/>
          <w:szCs w:val="24"/>
        </w:rPr>
        <w:t>Győr-Moson-Sopron Megye</w:t>
      </w:r>
      <w:r>
        <w:rPr>
          <w:rFonts w:ascii="Times New Roman" w:hAnsi="Times New Roman"/>
          <w:b/>
          <w:sz w:val="24"/>
          <w:szCs w:val="24"/>
        </w:rPr>
        <w:t>i</w:t>
      </w:r>
      <w:r w:rsidR="00F96667">
        <w:rPr>
          <w:rFonts w:ascii="Times New Roman" w:hAnsi="Times New Roman"/>
          <w:b/>
          <w:sz w:val="24"/>
          <w:szCs w:val="24"/>
        </w:rPr>
        <w:t xml:space="preserve"> Önkormányzat 2020</w:t>
      </w:r>
      <w:r w:rsidRPr="002149F6">
        <w:rPr>
          <w:rFonts w:ascii="Times New Roman" w:hAnsi="Times New Roman"/>
          <w:b/>
          <w:sz w:val="24"/>
          <w:szCs w:val="24"/>
        </w:rPr>
        <w:t>. évi költségvetéséről</w:t>
      </w:r>
    </w:p>
    <w:p w:rsidR="009D15F1" w:rsidRPr="002149F6" w:rsidRDefault="009D15F1" w:rsidP="009D15F1">
      <w:pPr>
        <w:jc w:val="both"/>
        <w:rPr>
          <w:rFonts w:ascii="Times New Roman" w:hAnsi="Times New Roman"/>
          <w:sz w:val="24"/>
          <w:szCs w:val="24"/>
        </w:rPr>
      </w:pPr>
    </w:p>
    <w:p w:rsidR="009D15F1" w:rsidRPr="002149F6" w:rsidRDefault="009D15F1" w:rsidP="009D15F1">
      <w:pPr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pStyle w:val="Szvegtrzs31"/>
        <w:ind w:left="0"/>
        <w:jc w:val="both"/>
        <w:rPr>
          <w:szCs w:val="24"/>
        </w:rPr>
      </w:pPr>
      <w:r>
        <w:rPr>
          <w:szCs w:val="24"/>
        </w:rPr>
        <w:t>A Győr-Moson-Sopron Megyei Önkormányzat Közgyűlése (a továbbiakban: közgyűlés) az Alaptörvény 32. cikk (2) bekezdésében meghatározott eredeti jogalkotói hatáskörében, az Alaptörvény 32. cikk (1) bekezdés f.) pontjában meghatározott feladatkörében eljárva a következőket rendeli el:</w:t>
      </w:r>
    </w:p>
    <w:p w:rsidR="00447E15" w:rsidRDefault="00447E15" w:rsidP="00447E15">
      <w:pPr>
        <w:pStyle w:val="Listaszerbekezds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</w:t>
      </w:r>
    </w:p>
    <w:p w:rsidR="00447E15" w:rsidRDefault="00447E15" w:rsidP="00447E15">
      <w:pPr>
        <w:ind w:left="1080"/>
        <w:rPr>
          <w:rFonts w:ascii="Times New Roman" w:hAnsi="Times New Roman"/>
          <w:b/>
          <w:sz w:val="24"/>
          <w:szCs w:val="24"/>
        </w:rPr>
      </w:pPr>
    </w:p>
    <w:p w:rsidR="00447E15" w:rsidRDefault="00447E15" w:rsidP="00447E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Önkormányzat kiadásainak és bevételeinek fő összege</w:t>
      </w:r>
    </w:p>
    <w:p w:rsidR="00447E15" w:rsidRDefault="00447E15" w:rsidP="00447E15">
      <w:pPr>
        <w:jc w:val="center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jc w:val="center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tabs>
          <w:tab w:val="left" w:pos="426"/>
          <w:tab w:val="left" w:pos="851"/>
        </w:tabs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1.§</w:t>
      </w:r>
    </w:p>
    <w:p w:rsidR="00447E15" w:rsidRDefault="00447E15" w:rsidP="00447E15">
      <w:pPr>
        <w:tabs>
          <w:tab w:val="left" w:pos="426"/>
          <w:tab w:val="left" w:pos="851"/>
        </w:tabs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</w:p>
    <w:p w:rsidR="00447E15" w:rsidRDefault="00447E15" w:rsidP="00447E15">
      <w:pPr>
        <w:pStyle w:val="Listaszerbekezds"/>
        <w:numPr>
          <w:ilvl w:val="0"/>
          <w:numId w:val="7"/>
        </w:numPr>
        <w:tabs>
          <w:tab w:val="left" w:pos="426"/>
          <w:tab w:val="left" w:pos="567"/>
        </w:tabs>
        <w:ind w:hanging="4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2020. évi összevont költségvetését az alábbiak szerint állapítja meg: (</w:t>
      </w:r>
      <w:proofErr w:type="spellStart"/>
      <w:r>
        <w:rPr>
          <w:rFonts w:ascii="Times New Roman" w:hAnsi="Times New Roman"/>
          <w:sz w:val="24"/>
          <w:szCs w:val="24"/>
        </w:rPr>
        <w:t>Lsd</w:t>
      </w:r>
      <w:proofErr w:type="spellEnd"/>
      <w:r>
        <w:rPr>
          <w:rFonts w:ascii="Times New Roman" w:hAnsi="Times New Roman"/>
          <w:sz w:val="24"/>
          <w:szCs w:val="24"/>
        </w:rPr>
        <w:t>. 4.1 és 4.2 melléklet)</w:t>
      </w:r>
    </w:p>
    <w:p w:rsidR="00447E15" w:rsidRDefault="00447E15" w:rsidP="00447E15">
      <w:pPr>
        <w:pStyle w:val="Listaszerbekezds"/>
        <w:tabs>
          <w:tab w:val="left" w:pos="426"/>
          <w:tab w:val="left" w:pos="567"/>
        </w:tabs>
        <w:ind w:left="415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Adatok  Ft-ban</w:t>
      </w:r>
      <w:proofErr w:type="gramEnd"/>
    </w:p>
    <w:tbl>
      <w:tblPr>
        <w:tblW w:w="8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657"/>
        <w:gridCol w:w="2123"/>
        <w:gridCol w:w="1551"/>
      </w:tblGrid>
      <w:tr w:rsidR="00447E15" w:rsidTr="00447E15">
        <w:trPr>
          <w:trHeight w:val="685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15" w:rsidRDefault="00447E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15" w:rsidRDefault="00447E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Működési célú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15" w:rsidRDefault="00447E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Felhalmozási célú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15" w:rsidRDefault="00447E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Összesen</w:t>
            </w:r>
          </w:p>
        </w:tc>
      </w:tr>
      <w:tr w:rsidR="00447E15" w:rsidTr="00447E15">
        <w:trPr>
          <w:trHeight w:val="735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15" w:rsidRDefault="00447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Tárgyévi költségvetési kiadási fő összeg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518 610 638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177 453 730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696 064 368</w:t>
            </w:r>
          </w:p>
        </w:tc>
      </w:tr>
      <w:tr w:rsidR="00447E15" w:rsidTr="00447E15">
        <w:trPr>
          <w:trHeight w:val="687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15" w:rsidRDefault="00447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Tárgyévi költségvetési bevételi fő összeg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363 743 354</w:t>
            </w: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363 743 354</w:t>
            </w:r>
          </w:p>
        </w:tc>
      </w:tr>
      <w:tr w:rsidR="00447E15" w:rsidTr="00447E15">
        <w:trPr>
          <w:trHeight w:val="588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15" w:rsidRDefault="00447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Tárgyévi költségvetési hiány összege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154 867 284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177 453 730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tabs>
                <w:tab w:val="left" w:pos="14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332 321 014</w:t>
            </w:r>
          </w:p>
        </w:tc>
      </w:tr>
      <w:tr w:rsidR="00447E15" w:rsidTr="00447E15">
        <w:trPr>
          <w:trHeight w:val="538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Finanszírozási kiadások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11 824 000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11 824 000</w:t>
            </w:r>
          </w:p>
        </w:tc>
      </w:tr>
      <w:tr w:rsidR="00447E15" w:rsidTr="00447E15">
        <w:trPr>
          <w:trHeight w:val="70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15" w:rsidRDefault="00447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Előző évi költségvetési maradvány igénybevétele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249 744 931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94 400 083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344 145 014</w:t>
            </w:r>
          </w:p>
        </w:tc>
      </w:tr>
      <w:tr w:rsidR="00447E15" w:rsidTr="00447E15">
        <w:trPr>
          <w:trHeight w:val="685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15" w:rsidRDefault="00447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Kiadási fő összeg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530 434 638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177 453 730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707 888 368</w:t>
            </w:r>
          </w:p>
        </w:tc>
      </w:tr>
      <w:tr w:rsidR="00447E15" w:rsidTr="00447E15">
        <w:trPr>
          <w:trHeight w:val="567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15" w:rsidRDefault="00447E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Bevételi fő összeg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613 488 285</w:t>
            </w: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94 400 083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7E15" w:rsidRDefault="00447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707 888 368</w:t>
            </w:r>
          </w:p>
        </w:tc>
      </w:tr>
    </w:tbl>
    <w:p w:rsidR="00447E15" w:rsidRDefault="00447E15" w:rsidP="00447E15">
      <w:pPr>
        <w:tabs>
          <w:tab w:val="left" w:pos="666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tabs>
          <w:tab w:val="left" w:pos="6663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közgyűlés a fentiekben megállapított költségvetési kiadások és bevételek összegén belül a kiadásokat és bevételeket kiemelt előirányzatonként a következő összegekben állapítja meg: </w:t>
      </w:r>
    </w:p>
    <w:p w:rsidR="00447E15" w:rsidRDefault="00447E15" w:rsidP="00447E1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47E15" w:rsidRDefault="00447E15" w:rsidP="00447E1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47E15" w:rsidRDefault="00447E15" w:rsidP="00447E15">
      <w:pPr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Kiadások:</w:t>
      </w:r>
    </w:p>
    <w:p w:rsidR="00447E15" w:rsidRDefault="00447E15" w:rsidP="00447E15">
      <w:pPr>
        <w:tabs>
          <w:tab w:val="right" w:pos="5670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Személyi </w:t>
      </w:r>
      <w:proofErr w:type="gramStart"/>
      <w:r>
        <w:rPr>
          <w:rFonts w:ascii="Times New Roman" w:hAnsi="Times New Roman"/>
          <w:sz w:val="24"/>
          <w:szCs w:val="24"/>
        </w:rPr>
        <w:t>juttatások</w:t>
      </w:r>
      <w:r>
        <w:rPr>
          <w:rFonts w:ascii="Times New Roman" w:hAnsi="Times New Roman"/>
          <w:sz w:val="24"/>
          <w:szCs w:val="24"/>
        </w:rPr>
        <w:tab/>
        <w:t xml:space="preserve">   222.</w:t>
      </w:r>
      <w:proofErr w:type="gramEnd"/>
      <w:r>
        <w:rPr>
          <w:rFonts w:ascii="Times New Roman" w:hAnsi="Times New Roman"/>
          <w:sz w:val="24"/>
          <w:szCs w:val="24"/>
        </w:rPr>
        <w:t>054.601 Ft</w:t>
      </w:r>
    </w:p>
    <w:p w:rsidR="00447E15" w:rsidRDefault="00447E15" w:rsidP="00447E15">
      <w:pPr>
        <w:tabs>
          <w:tab w:val="right" w:pos="5670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Munkaadókat terhelő járulékok</w:t>
      </w:r>
      <w:r>
        <w:rPr>
          <w:rFonts w:ascii="Times New Roman" w:hAnsi="Times New Roman"/>
          <w:sz w:val="24"/>
          <w:szCs w:val="24"/>
        </w:rPr>
        <w:tab/>
        <w:t>39.426.206 Ft</w:t>
      </w:r>
    </w:p>
    <w:p w:rsidR="00447E15" w:rsidRDefault="00447E15" w:rsidP="00447E15">
      <w:pPr>
        <w:tabs>
          <w:tab w:val="right" w:pos="5670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Dologi kiadások:</w:t>
      </w:r>
      <w:r>
        <w:rPr>
          <w:rFonts w:ascii="Times New Roman" w:hAnsi="Times New Roman"/>
          <w:sz w:val="24"/>
          <w:szCs w:val="24"/>
        </w:rPr>
        <w:tab/>
        <w:t>229.153.271 Ft</w:t>
      </w:r>
    </w:p>
    <w:p w:rsidR="00447E15" w:rsidRDefault="00447E15" w:rsidP="00447E15">
      <w:pPr>
        <w:tabs>
          <w:tab w:val="right" w:pos="5670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működési célú kiadások</w:t>
      </w:r>
      <w:r>
        <w:rPr>
          <w:rFonts w:ascii="Times New Roman" w:hAnsi="Times New Roman"/>
          <w:sz w:val="24"/>
          <w:szCs w:val="24"/>
        </w:rPr>
        <w:tab/>
        <w:t>27.976.560 Ft</w:t>
      </w:r>
    </w:p>
    <w:p w:rsidR="00447E15" w:rsidRDefault="00447E15" w:rsidP="00447E15">
      <w:pPr>
        <w:tabs>
          <w:tab w:val="right" w:pos="5670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Beruházás</w:t>
      </w:r>
      <w:r>
        <w:rPr>
          <w:rFonts w:ascii="Times New Roman" w:hAnsi="Times New Roman"/>
          <w:sz w:val="24"/>
          <w:szCs w:val="24"/>
        </w:rPr>
        <w:tab/>
        <w:t>102.754.143 Ft</w:t>
      </w:r>
    </w:p>
    <w:p w:rsidR="00447E15" w:rsidRDefault="00447E15" w:rsidP="00447E15">
      <w:pPr>
        <w:tabs>
          <w:tab w:val="left" w:pos="4224"/>
        </w:tabs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Felújítás</w:t>
      </w:r>
      <w:r>
        <w:rPr>
          <w:rFonts w:ascii="Times New Roman" w:hAnsi="Times New Roman"/>
          <w:sz w:val="24"/>
          <w:szCs w:val="24"/>
        </w:rPr>
        <w:tab/>
        <w:t xml:space="preserve">  26</w:t>
      </w:r>
      <w:proofErr w:type="gramEnd"/>
      <w:r>
        <w:rPr>
          <w:rFonts w:ascii="Times New Roman" w:hAnsi="Times New Roman"/>
          <w:sz w:val="24"/>
          <w:szCs w:val="24"/>
        </w:rPr>
        <w:t>.664.676 Ft</w:t>
      </w:r>
    </w:p>
    <w:p w:rsidR="00447E15" w:rsidRDefault="00447E15" w:rsidP="00447E15">
      <w:pPr>
        <w:tabs>
          <w:tab w:val="right" w:pos="5670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Tartalék</w:t>
      </w:r>
      <w:r>
        <w:rPr>
          <w:rFonts w:ascii="Times New Roman" w:hAnsi="Times New Roman"/>
          <w:sz w:val="24"/>
          <w:szCs w:val="24"/>
        </w:rPr>
        <w:tab/>
        <w:t>48.034.911 Ft</w:t>
      </w:r>
    </w:p>
    <w:p w:rsidR="00447E15" w:rsidRDefault="00447E15" w:rsidP="00447E15">
      <w:pPr>
        <w:tabs>
          <w:tab w:val="right" w:pos="5670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Finanszírozási kiadások</w:t>
      </w:r>
      <w:r>
        <w:rPr>
          <w:rFonts w:ascii="Times New Roman" w:hAnsi="Times New Roman"/>
          <w:sz w:val="24"/>
          <w:szCs w:val="24"/>
        </w:rPr>
        <w:tab/>
        <w:t>11.824.000 Ft</w:t>
      </w:r>
    </w:p>
    <w:p w:rsidR="00447E15" w:rsidRDefault="00447E15" w:rsidP="00447E15">
      <w:pPr>
        <w:tabs>
          <w:tab w:val="right" w:pos="5670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Bevételek:</w:t>
      </w:r>
    </w:p>
    <w:p w:rsidR="00447E15" w:rsidRDefault="00447E15" w:rsidP="00447E15">
      <w:pPr>
        <w:tabs>
          <w:tab w:val="right" w:pos="7655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Önkormányzatok működési támogatásai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295.</w:t>
      </w:r>
      <w:proofErr w:type="gramEnd"/>
      <w:r>
        <w:rPr>
          <w:rFonts w:ascii="Times New Roman" w:hAnsi="Times New Roman"/>
          <w:sz w:val="24"/>
          <w:szCs w:val="24"/>
        </w:rPr>
        <w:t>600.000 Ft</w:t>
      </w:r>
    </w:p>
    <w:p w:rsidR="00447E15" w:rsidRDefault="00447E15" w:rsidP="00447E15">
      <w:pPr>
        <w:tabs>
          <w:tab w:val="left" w:pos="7110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működési célú támogatások</w:t>
      </w:r>
      <w:r>
        <w:rPr>
          <w:rFonts w:ascii="Times New Roman" w:hAnsi="Times New Roman"/>
          <w:sz w:val="24"/>
          <w:szCs w:val="24"/>
        </w:rPr>
        <w:tab/>
      </w:r>
    </w:p>
    <w:p w:rsidR="00447E15" w:rsidRDefault="00447E15" w:rsidP="00447E15">
      <w:pPr>
        <w:tabs>
          <w:tab w:val="right" w:pos="7655"/>
        </w:tabs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bevételei</w:t>
      </w:r>
      <w:proofErr w:type="gramEnd"/>
      <w:r>
        <w:rPr>
          <w:rFonts w:ascii="Times New Roman" w:hAnsi="Times New Roman"/>
          <w:sz w:val="24"/>
          <w:szCs w:val="24"/>
        </w:rPr>
        <w:t xml:space="preserve"> államháztartáson belülről</w:t>
      </w:r>
      <w:r>
        <w:rPr>
          <w:rFonts w:ascii="Times New Roman" w:hAnsi="Times New Roman"/>
          <w:sz w:val="24"/>
          <w:szCs w:val="24"/>
        </w:rPr>
        <w:tab/>
        <w:t xml:space="preserve">46.130.366- </w:t>
      </w:r>
    </w:p>
    <w:p w:rsidR="00447E15" w:rsidRDefault="00447E15" w:rsidP="00447E15">
      <w:pPr>
        <w:tabs>
          <w:tab w:val="right" w:pos="7655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Működési bevételek:</w:t>
      </w:r>
      <w:r>
        <w:rPr>
          <w:rFonts w:ascii="Times New Roman" w:hAnsi="Times New Roman"/>
          <w:sz w:val="24"/>
          <w:szCs w:val="24"/>
        </w:rPr>
        <w:tab/>
        <w:t xml:space="preserve"> 15.319.238 Ft</w:t>
      </w:r>
    </w:p>
    <w:p w:rsidR="00447E15" w:rsidRDefault="00447E15" w:rsidP="00447E15">
      <w:pPr>
        <w:tabs>
          <w:tab w:val="left" w:pos="6521"/>
          <w:tab w:val="left" w:pos="6663"/>
          <w:tab w:val="right" w:pos="7655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Működési. </w:t>
      </w:r>
      <w:proofErr w:type="gramStart"/>
      <w:r>
        <w:rPr>
          <w:rFonts w:ascii="Times New Roman" w:hAnsi="Times New Roman"/>
          <w:sz w:val="24"/>
          <w:szCs w:val="24"/>
        </w:rPr>
        <w:t>célú</w:t>
      </w:r>
      <w:proofErr w:type="gramEnd"/>
      <w:r>
        <w:rPr>
          <w:rFonts w:ascii="Times New Roman" w:hAnsi="Times New Roman"/>
          <w:sz w:val="24"/>
          <w:szCs w:val="24"/>
        </w:rPr>
        <w:t xml:space="preserve"> átvett pénzeszközök ÁH-n kívülről                  6.693.750 Ft- </w:t>
      </w:r>
    </w:p>
    <w:p w:rsidR="00447E15" w:rsidRDefault="00447E15" w:rsidP="00447E15">
      <w:pPr>
        <w:tabs>
          <w:tab w:val="right" w:pos="7655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Előző év költségvetési maradványának igénybevétele </w:t>
      </w:r>
      <w:r>
        <w:rPr>
          <w:rFonts w:ascii="Times New Roman" w:hAnsi="Times New Roman"/>
          <w:sz w:val="24"/>
          <w:szCs w:val="24"/>
        </w:rPr>
        <w:tab/>
        <w:t xml:space="preserve"> 344.145.014 Ft</w:t>
      </w:r>
    </w:p>
    <w:p w:rsidR="00447E15" w:rsidRDefault="00447E15" w:rsidP="00447E15">
      <w:pPr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>A közgyűlés az Önkormányzat és az Önkormányzati Hivatal (a továbbiakban: hivatal) összevont mérlegét az 1. számú melléklet, továbbá a működési és fejlesztési mérlegét 4.1 és az 4.2. számú mellékletekben foglaltak alapján hagyja jóvá.</w:t>
      </w: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A közgyűlés az önkormányzat és a hivatal költségvetését címenként, alcímenként és kiemelt előirányzatok szerinti bontásban az 1.1 és az 1.2 számú mellékletekben rögzítettek szerint határozza meg.</w:t>
      </w: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>A közgyűlés 2020. évi alkalmazotti létszámkeret-előirányzatot a 2. számú melléklet szerint állapítja meg.</w:t>
      </w: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47E15" w:rsidRDefault="00447E15" w:rsidP="00447E15">
      <w:pPr>
        <w:tabs>
          <w:tab w:val="left" w:pos="709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ab/>
        <w:t>A közgyűlés az önkormányzat előirányzat felhasználási tervéről a 3. számú melléklet szerint rendelkezik.</w:t>
      </w:r>
    </w:p>
    <w:p w:rsidR="00447E15" w:rsidRDefault="00447E15" w:rsidP="00447E15">
      <w:pPr>
        <w:tabs>
          <w:tab w:val="left" w:pos="709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  A közgyűlés az önkormányzat és a hivatal kötelező, valamint önként vállalt feladataira tervezett előirányzatokat a 6. számú melléklet szerint hagyja jóvá.</w:t>
      </w:r>
    </w:p>
    <w:p w:rsidR="00447E15" w:rsidRDefault="00447E15" w:rsidP="00447E1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(7) A közgyűlés az önkormányzat európai uniós forrásból finanszírozott támogatással megvalósuló projektjeinek tárgyévi bevételeit és kiadásait a 2. számú melléklet szerint fogadja el.</w:t>
      </w: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§</w:t>
      </w:r>
    </w:p>
    <w:p w:rsidR="00447E15" w:rsidRDefault="00447E15" w:rsidP="00447E15">
      <w:pPr>
        <w:tabs>
          <w:tab w:val="left" w:pos="851"/>
        </w:tabs>
        <w:jc w:val="center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A közgyűlés a 2020. évi költségvetésében 5.000 E Ft általános tartalékot képez.</w:t>
      </w:r>
    </w:p>
    <w:p w:rsidR="00447E15" w:rsidRDefault="00447E15" w:rsidP="00447E15">
      <w:pPr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>A közgyűlés az általános tartalék felhasználásáról való rendelkezés jogát éves szinten 2.000 E Ft összeghatárig a közgyűlés elnökére ruházza át.</w:t>
      </w: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 A közgyűlés a 2019. évi költségvetésében 43.034.911 Ft céltartalékot képez.</w:t>
      </w: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tabs>
          <w:tab w:val="left" w:pos="426"/>
          <w:tab w:val="left" w:pos="851"/>
        </w:tabs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 költségvetési előirányzatok változtatása</w:t>
      </w:r>
    </w:p>
    <w:p w:rsidR="00447E15" w:rsidRDefault="00447E15" w:rsidP="00447E15">
      <w:pPr>
        <w:tabs>
          <w:tab w:val="left" w:pos="426"/>
          <w:tab w:val="left" w:pos="851"/>
        </w:tabs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:rsidR="00447E15" w:rsidRDefault="00447E15" w:rsidP="00447E15">
      <w:pPr>
        <w:ind w:left="540" w:hanging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§</w:t>
      </w:r>
    </w:p>
    <w:p w:rsidR="00447E15" w:rsidRDefault="00447E15" w:rsidP="00447E15">
      <w:pPr>
        <w:ind w:left="540" w:hanging="540"/>
        <w:jc w:val="center"/>
        <w:rPr>
          <w:rFonts w:ascii="Times New Roman" w:hAnsi="Times New Roman"/>
          <w:b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(l) A közgyűlés a 2020. évi költségvetés előirányzatai közötti szükség szerinti átcsoportosítási és felhasználási jogát - a kiadási előirányzatai fő összegének változatlansága mellett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100.000 E </w:t>
      </w:r>
      <w:r>
        <w:rPr>
          <w:rFonts w:ascii="Times New Roman" w:hAnsi="Times New Roman"/>
          <w:sz w:val="24"/>
          <w:szCs w:val="24"/>
        </w:rPr>
        <w:t>Ft összeghatárig a közgyűlés elnökére ruházza át.</w:t>
      </w:r>
    </w:p>
    <w:p w:rsidR="00447E15" w:rsidRDefault="00447E15" w:rsidP="00447E15">
      <w:pPr>
        <w:ind w:left="540" w:hanging="540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ab/>
        <w:t xml:space="preserve">A közgyűlés a 2020. évi költségvetés előirányzat módosítás jogát – a megállapított kiadási előirányzat növelése vagy csökkentése, a bevételi előirányzatok egyidejű növelése vagy csökkentése mellett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30.000 </w:t>
      </w:r>
      <w:r>
        <w:rPr>
          <w:rFonts w:ascii="Times New Roman" w:hAnsi="Times New Roman"/>
          <w:sz w:val="24"/>
          <w:szCs w:val="24"/>
        </w:rPr>
        <w:t>E Ft összeghatárig a közgyűlés elnökére ruházza át.</w:t>
      </w:r>
    </w:p>
    <w:p w:rsidR="00447E15" w:rsidRDefault="00447E15" w:rsidP="00447E15">
      <w:pPr>
        <w:ind w:left="540" w:hanging="540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tabs>
          <w:tab w:val="left" w:pos="0"/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Az Államháztartásról szóló törvény végrehajtását szabályozó 368/2011. (XII. 31.) Kormányrendelet (</w:t>
      </w:r>
      <w:proofErr w:type="spellStart"/>
      <w:r>
        <w:rPr>
          <w:rFonts w:ascii="Times New Roman" w:hAnsi="Times New Roman"/>
          <w:sz w:val="24"/>
          <w:szCs w:val="24"/>
        </w:rPr>
        <w:t>Ávr</w:t>
      </w:r>
      <w:proofErr w:type="spellEnd"/>
      <w:r>
        <w:rPr>
          <w:rFonts w:ascii="Times New Roman" w:hAnsi="Times New Roman"/>
          <w:sz w:val="24"/>
          <w:szCs w:val="24"/>
        </w:rPr>
        <w:t xml:space="preserve">). 36. § (1) bekezdésében foglaltakra figyelemmel a hivatal saját hatáskörben a kiadási előirányzatokat az egységes rovatrend B1. Működési célú támogatások államháztartáson belülről, B2. Felhalmozási célú támogatások államháztartáson belülről, B6. Működési célú átvett (államháztartáson kívüli) pénzeszköz, </w:t>
      </w:r>
      <w:proofErr w:type="spellStart"/>
      <w:r>
        <w:rPr>
          <w:rFonts w:ascii="Times New Roman" w:hAnsi="Times New Roman"/>
          <w:sz w:val="24"/>
          <w:szCs w:val="24"/>
        </w:rPr>
        <w:t>B7</w:t>
      </w:r>
      <w:proofErr w:type="spellEnd"/>
      <w:r>
        <w:rPr>
          <w:rFonts w:ascii="Times New Roman" w:hAnsi="Times New Roman"/>
          <w:sz w:val="24"/>
          <w:szCs w:val="24"/>
        </w:rPr>
        <w:t xml:space="preserve">. Felhalmozási célú átvett (államháztartáson kívüli) pénzeszköz bevételi előirányzatának egyidejű növelésével (a megtervezett költségvetési bevételi előirányzatok a költségvetési évben meghatározott céllal rendelkezésre bocsátott költségvetési bevételekkel abban az esetben is megnövelhetők, ha a költségvetési bevételi előirányzatok még nem teljesültek túl, azonban az adott cél a költségvetési év költségvetési bevételeinek tervezésekor nem volt figyelembe vehető), továbbá a </w:t>
      </w:r>
      <w:proofErr w:type="spellStart"/>
      <w:r>
        <w:rPr>
          <w:rFonts w:ascii="Times New Roman" w:hAnsi="Times New Roman"/>
          <w:sz w:val="24"/>
          <w:szCs w:val="24"/>
        </w:rPr>
        <w:t>B813</w:t>
      </w:r>
      <w:proofErr w:type="spellEnd"/>
      <w:r>
        <w:rPr>
          <w:rFonts w:ascii="Times New Roman" w:hAnsi="Times New Roman"/>
          <w:sz w:val="24"/>
          <w:szCs w:val="24"/>
        </w:rPr>
        <w:t xml:space="preserve">. Maradvány igénybevétele rovaton elszámolt maradvány által fedezett módon, annak összegéig megemelheti. </w:t>
      </w:r>
    </w:p>
    <w:p w:rsidR="00447E15" w:rsidRDefault="00447E15" w:rsidP="00447E15">
      <w:pPr>
        <w:tabs>
          <w:tab w:val="left" w:pos="0"/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Az </w:t>
      </w:r>
      <w:proofErr w:type="spellStart"/>
      <w:r>
        <w:rPr>
          <w:rFonts w:ascii="Times New Roman" w:hAnsi="Times New Roman"/>
          <w:sz w:val="24"/>
          <w:szCs w:val="24"/>
        </w:rPr>
        <w:t>Ávr</w:t>
      </w:r>
      <w:proofErr w:type="spellEnd"/>
      <w:r>
        <w:rPr>
          <w:rFonts w:ascii="Times New Roman" w:hAnsi="Times New Roman"/>
          <w:sz w:val="24"/>
          <w:szCs w:val="24"/>
        </w:rPr>
        <w:t xml:space="preserve">. 35.§ (10) bekezdésében foglalt rendelkezésre figyelemmel a közgyűlés előzetesen engedélyezi, hogy az intézményi (hivatali) többletbevétel (10 </w:t>
      </w:r>
      <w:proofErr w:type="spellStart"/>
      <w:r>
        <w:rPr>
          <w:rFonts w:ascii="Times New Roman" w:hAnsi="Times New Roman"/>
          <w:sz w:val="24"/>
          <w:szCs w:val="24"/>
        </w:rPr>
        <w:t>MFt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ig</w:t>
      </w:r>
      <w:proofErr w:type="spellEnd"/>
      <w:r>
        <w:rPr>
          <w:rFonts w:ascii="Times New Roman" w:hAnsi="Times New Roman"/>
          <w:sz w:val="24"/>
          <w:szCs w:val="24"/>
        </w:rPr>
        <w:t>) költségvetési kiadások teljesítésére felhasználásra kerüljön; ezen esetben előirányzat módosításra utólag, a következő költségvetés módosításakor kerül sor.</w:t>
      </w:r>
    </w:p>
    <w:p w:rsidR="00447E15" w:rsidRDefault="00447E15" w:rsidP="00447E15">
      <w:pPr>
        <w:ind w:left="540" w:hanging="540"/>
        <w:jc w:val="both"/>
        <w:rPr>
          <w:rFonts w:ascii="Times New Roman" w:hAnsi="Times New Roman"/>
          <w:color w:val="C0504D"/>
          <w:sz w:val="24"/>
          <w:szCs w:val="24"/>
        </w:rPr>
      </w:pPr>
    </w:p>
    <w:p w:rsidR="00447E15" w:rsidRDefault="00447E15" w:rsidP="00447E15">
      <w:pPr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pStyle w:val="Listaszerbekezds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</w:t>
      </w:r>
    </w:p>
    <w:p w:rsidR="00447E15" w:rsidRDefault="00447E15" w:rsidP="00447E15">
      <w:pPr>
        <w:ind w:left="1080"/>
        <w:rPr>
          <w:rFonts w:ascii="Times New Roman" w:hAnsi="Times New Roman"/>
          <w:b/>
          <w:sz w:val="24"/>
          <w:szCs w:val="24"/>
        </w:rPr>
      </w:pPr>
    </w:p>
    <w:p w:rsidR="00447E15" w:rsidRDefault="00447E15" w:rsidP="00447E1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2020. évi költségvetés végrehajtásával kapcsolatos rendelkezések</w:t>
      </w:r>
    </w:p>
    <w:p w:rsidR="00447E15" w:rsidRDefault="00447E15" w:rsidP="00447E1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7E15" w:rsidRDefault="00447E15" w:rsidP="00447E15">
      <w:pPr>
        <w:tabs>
          <w:tab w:val="left" w:pos="851"/>
        </w:tabs>
        <w:autoSpaceDE w:val="0"/>
        <w:autoSpaceDN w:val="0"/>
        <w:adjustRightInd w:val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§</w:t>
      </w:r>
    </w:p>
    <w:p w:rsidR="00447E15" w:rsidRDefault="00447E15" w:rsidP="00447E15">
      <w:pPr>
        <w:tabs>
          <w:tab w:val="left" w:pos="851"/>
        </w:tabs>
        <w:autoSpaceDE w:val="0"/>
        <w:autoSpaceDN w:val="0"/>
        <w:adjustRightInd w:val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:rsidR="00447E15" w:rsidRDefault="00447E15" w:rsidP="00447E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közgyűlés felhatalmazza elnökét és a megyei jegyzőt, hogy Magyarország 2020. évi központi költségvetéséről szóló 2019. évi LXXI. törvény (a továbbiakban: költségvetési törvény) 3. mellékletében szereplő, a megyei önkormányzatok rendkívüli támogatására pályázatot, igénylést nyújtsanak be.</w:t>
      </w:r>
    </w:p>
    <w:p w:rsidR="00447E15" w:rsidRDefault="00447E15" w:rsidP="00447E15">
      <w:pPr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.§</w:t>
      </w:r>
    </w:p>
    <w:p w:rsidR="00447E15" w:rsidRDefault="00447E15" w:rsidP="00447E15">
      <w:pPr>
        <w:tabs>
          <w:tab w:val="left" w:pos="851"/>
        </w:tabs>
        <w:autoSpaceDE w:val="0"/>
        <w:autoSpaceDN w:val="0"/>
        <w:adjustRightInd w:val="0"/>
        <w:ind w:left="426" w:hanging="426"/>
        <w:jc w:val="center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közgyűlés – az első negyedév kivételével – negyedévenként, a döntése szerinti időpontokban, de legkésőbb az éves költségvetési beszámoló elkészítésének </w:t>
      </w:r>
      <w:proofErr w:type="spellStart"/>
      <w:r>
        <w:rPr>
          <w:rFonts w:ascii="Times New Roman" w:hAnsi="Times New Roman"/>
          <w:sz w:val="24"/>
          <w:szCs w:val="24"/>
        </w:rPr>
        <w:t>határidejéig</w:t>
      </w:r>
      <w:proofErr w:type="spellEnd"/>
      <w:r>
        <w:rPr>
          <w:rFonts w:ascii="Times New Roman" w:hAnsi="Times New Roman"/>
          <w:sz w:val="24"/>
          <w:szCs w:val="24"/>
        </w:rPr>
        <w:t xml:space="preserve"> december 31-i hatállyal dönt a költségvetési rendelet módosításáról.</w:t>
      </w:r>
    </w:p>
    <w:p w:rsidR="00447E15" w:rsidRDefault="00447E15" w:rsidP="00447E15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Ha az Országgyűlés évközben – a helyi önkormányzatot érintő módon – kiadási előirányzatot zárol, azt csökkenti vagy </w:t>
      </w:r>
      <w:proofErr w:type="spellStart"/>
      <w:r>
        <w:rPr>
          <w:rFonts w:ascii="Times New Roman" w:hAnsi="Times New Roman"/>
          <w:sz w:val="24"/>
          <w:szCs w:val="24"/>
        </w:rPr>
        <w:t>törli</w:t>
      </w:r>
      <w:proofErr w:type="spellEnd"/>
      <w:r>
        <w:rPr>
          <w:rFonts w:ascii="Times New Roman" w:hAnsi="Times New Roman"/>
          <w:sz w:val="24"/>
          <w:szCs w:val="24"/>
        </w:rPr>
        <w:t>, az intézkedés kihirdetését követően a költségvetési rendelet módosítását haladéktalanul a közgyűlés elé kell terjeszteni.</w:t>
      </w:r>
    </w:p>
    <w:p w:rsidR="00447E15" w:rsidRDefault="00447E15" w:rsidP="00447E15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jóváhagyott kiemelt kiadási előirányzatok nem léphetők túl, azokra többlet-kötelezettségek nem vállalhatók. A kiemelt előirányzatokon belül a részelőirányzatok a közgyűlés tájékoztatása nélkül is módosíthatók. </w:t>
      </w:r>
    </w:p>
    <w:p w:rsidR="00447E15" w:rsidRDefault="00447E15" w:rsidP="00447E15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numPr>
          <w:ilvl w:val="0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bevételi előirányzatok kizárólag azok túlteljesítése esetén növelhetők és a költségvetési bevételek tervezettől történő elmaradása esetén azokat csökkenteni kell.</w:t>
      </w:r>
    </w:p>
    <w:p w:rsidR="00447E15" w:rsidRDefault="00447E15" w:rsidP="00447E15">
      <w:pPr>
        <w:pStyle w:val="Listaszerbekezds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numPr>
          <w:ilvl w:val="0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közszolgálati tisztviselőkről szóló 2011. évi CXCIX. törvény 132. §-a szerinti illetményalap 2020. évben is 38.650 Ft.</w:t>
      </w:r>
    </w:p>
    <w:p w:rsidR="00447E15" w:rsidRDefault="00447E15" w:rsidP="00447E15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közgyűlés az egységes rovatrend </w:t>
      </w:r>
      <w:proofErr w:type="spellStart"/>
      <w:r>
        <w:rPr>
          <w:rFonts w:ascii="Times New Roman" w:hAnsi="Times New Roman"/>
          <w:sz w:val="24"/>
          <w:szCs w:val="24"/>
        </w:rPr>
        <w:t>K1102</w:t>
      </w:r>
      <w:proofErr w:type="spellEnd"/>
      <w:r>
        <w:rPr>
          <w:rFonts w:ascii="Times New Roman" w:hAnsi="Times New Roman"/>
          <w:sz w:val="24"/>
          <w:szCs w:val="24"/>
        </w:rPr>
        <w:t xml:space="preserve"> Normatív jutalmak terhére vállalható kötelezettség mértékét az elemi költségvetésben megállapított egységes rovatrend </w:t>
      </w:r>
      <w:proofErr w:type="spellStart"/>
      <w:r>
        <w:rPr>
          <w:rFonts w:ascii="Times New Roman" w:hAnsi="Times New Roman"/>
          <w:sz w:val="24"/>
          <w:szCs w:val="24"/>
        </w:rPr>
        <w:t>K1101</w:t>
      </w:r>
      <w:proofErr w:type="spellEnd"/>
      <w:r>
        <w:rPr>
          <w:rFonts w:ascii="Times New Roman" w:hAnsi="Times New Roman"/>
          <w:sz w:val="24"/>
          <w:szCs w:val="24"/>
        </w:rPr>
        <w:t xml:space="preserve"> Törvény szerinti illetmények, munkabérek rovat eredeti előirányzatának – maximálisan – 1/5 részében határozza meg.</w:t>
      </w:r>
    </w:p>
    <w:p w:rsidR="00447E15" w:rsidRDefault="00447E15" w:rsidP="00447E15">
      <w:pPr>
        <w:pStyle w:val="Listaszerbekezds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pStyle w:val="Listaszerbekezds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egy foglalkoztatott éves </w:t>
      </w:r>
      <w:proofErr w:type="spellStart"/>
      <w:r>
        <w:rPr>
          <w:rFonts w:ascii="Times New Roman" w:hAnsi="Times New Roman"/>
          <w:sz w:val="24"/>
          <w:szCs w:val="24"/>
        </w:rPr>
        <w:t>cafetéria</w:t>
      </w:r>
      <w:proofErr w:type="spellEnd"/>
      <w:r>
        <w:rPr>
          <w:rFonts w:ascii="Times New Roman" w:hAnsi="Times New Roman"/>
          <w:sz w:val="24"/>
          <w:szCs w:val="24"/>
        </w:rPr>
        <w:t xml:space="preserve"> kerete 2020. évben a költségvetési törvény 58</w:t>
      </w:r>
      <w:r>
        <w:rPr>
          <w:rFonts w:ascii="Times New Roman" w:hAnsi="Times New Roman"/>
          <w:color w:val="000000" w:themeColor="text1"/>
          <w:sz w:val="24"/>
          <w:szCs w:val="24"/>
        </w:rPr>
        <w:t>. § (4) bekezdésében meghatározott összeg. (bruttó 200 E Ft)</w:t>
      </w:r>
    </w:p>
    <w:p w:rsidR="00447E15" w:rsidRDefault="00447E15" w:rsidP="00447E15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7E15" w:rsidRDefault="00447E15" w:rsidP="00447E1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közgyűlés az egy foglalkoztatott havi fizetési számla-hozzájárulásának mértékét 2020. évben a költségvetési törvény 58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§ (5) </w:t>
      </w:r>
      <w:r>
        <w:rPr>
          <w:rFonts w:ascii="Times New Roman" w:hAnsi="Times New Roman"/>
          <w:sz w:val="24"/>
          <w:szCs w:val="24"/>
        </w:rPr>
        <w:t>bekezdésében meghatározott összegben állapítja meg. (havi 1 E Ft)</w:t>
      </w:r>
    </w:p>
    <w:p w:rsidR="00447E15" w:rsidRDefault="00447E15" w:rsidP="00447E15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Kifizetése két részletben történik tárgyév június 30-ig, illetve november 30-ig.</w:t>
      </w:r>
    </w:p>
    <w:p w:rsidR="00447E15" w:rsidRDefault="00447E15" w:rsidP="00447E15">
      <w:pPr>
        <w:pStyle w:val="Listaszerbekezds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közgyűlés felhatalmazza a megyei jegyzőt, hogy a belső ellenőrzésről a költséghatékonyságot figyelembe véve gondoskodjon.</w:t>
      </w:r>
    </w:p>
    <w:p w:rsidR="00447E15" w:rsidRDefault="00447E15" w:rsidP="00447E15">
      <w:p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(10) </w:t>
      </w:r>
      <w:r>
        <w:rPr>
          <w:rFonts w:ascii="Times New Roman" w:hAnsi="Times New Roman"/>
          <w:sz w:val="24"/>
          <w:szCs w:val="24"/>
        </w:rPr>
        <w:tab/>
        <w:t>Az Áht. 85. §-a szerint a bevételek beszedésekor, kiadások teljesítésekor elsődlegesen készpénzkímélő fizetési módokat kell alkalmazni. A kiadások készpénzben történő teljesítésére alapvetően (többségében) a következő esetekben kerülhet sor, illetve igényelhető készpénz felvétel a kincstártól, így:</w:t>
      </w:r>
    </w:p>
    <w:p w:rsidR="00447E15" w:rsidRDefault="00447E15" w:rsidP="00447E15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a készlet- és kis értékű tárgyi eszköz beszerzésekre,</w:t>
      </w:r>
    </w:p>
    <w:p w:rsidR="00447E15" w:rsidRDefault="00447E15" w:rsidP="00447E15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utazási és kiküldetési előleg felvételére,</w:t>
      </w:r>
    </w:p>
    <w:p w:rsidR="00447E15" w:rsidRDefault="00447E15" w:rsidP="00447E15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reprezentációs kiadásokra,</w:t>
      </w:r>
    </w:p>
    <w:p w:rsidR="00447E15" w:rsidRDefault="00447E15" w:rsidP="00447E15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egyes kisösszegű szolgáltatási kiadások készpénzben történő teljesítésére,</w:t>
      </w:r>
    </w:p>
    <w:p w:rsidR="00447E15" w:rsidRDefault="00447E15" w:rsidP="00447E15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egyes személyi juttatások kifizetése esetén.</w:t>
      </w:r>
    </w:p>
    <w:p w:rsidR="00447E15" w:rsidRDefault="00447E15" w:rsidP="00447E1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részletes szabályokat a pénzkezelési szabályzatban kell meghatározni.</w:t>
      </w:r>
    </w:p>
    <w:p w:rsidR="00447E15" w:rsidRDefault="00447E15" w:rsidP="00447E15">
      <w:pPr>
        <w:tabs>
          <w:tab w:val="righ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tabs>
          <w:tab w:val="right" w:pos="426"/>
        </w:tabs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(11) A céltartalék felhasználásának szabályai:</w:t>
      </w:r>
    </w:p>
    <w:p w:rsidR="00447E15" w:rsidRDefault="00447E15" w:rsidP="00447E15">
      <w:pPr>
        <w:pStyle w:val="Listaszerbekezds"/>
        <w:tabs>
          <w:tab w:val="righ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Az 1.1. számú mellékletben szereplő céltartalék felhasználásáról </w:t>
      </w:r>
    </w:p>
    <w:p w:rsidR="00447E15" w:rsidRDefault="00447E15" w:rsidP="00447E15">
      <w:pPr>
        <w:pStyle w:val="Listaszerbekezds"/>
        <w:numPr>
          <w:ilvl w:val="0"/>
          <w:numId w:val="9"/>
        </w:numPr>
        <w:tabs>
          <w:tab w:val="right" w:pos="7938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Magyarország helyi önkormányzatairól szóló 2011. évi CLXXXIX. törvény (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>.) 41. § (9) bekezdésében foglaltakra figyelemmel az államháztartáson kívüli források átvételéről és átadásáról a közgyűlés elnöke dönt.</w:t>
      </w:r>
    </w:p>
    <w:p w:rsidR="00447E15" w:rsidRDefault="00447E15" w:rsidP="00447E15">
      <w:pPr>
        <w:pStyle w:val="Listaszerbekezds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 xml:space="preserve"> 42.§ 4. pontjában foglaltak esetekben a közgyűlés elnökének javaslatára</w:t>
      </w:r>
    </w:p>
    <w:p w:rsidR="00447E15" w:rsidRDefault="00447E15" w:rsidP="00447E15">
      <w:p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közgyűlés dönt a beérkezett igények alapján.</w:t>
      </w:r>
    </w:p>
    <w:p w:rsidR="00447E15" w:rsidRDefault="00447E15" w:rsidP="00447E15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1.1 számú melléklet céltartalék felhasználásáról a közgyűlés elnöke dönt.</w:t>
      </w:r>
    </w:p>
    <w:p w:rsidR="00447E15" w:rsidRDefault="00447E15" w:rsidP="00447E15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(12) A közgyűlés az </w:t>
      </w:r>
      <w:proofErr w:type="spellStart"/>
      <w:r>
        <w:rPr>
          <w:rFonts w:ascii="Times New Roman" w:hAnsi="Times New Roman"/>
          <w:sz w:val="24"/>
          <w:szCs w:val="24"/>
        </w:rPr>
        <w:t>EMT</w:t>
      </w:r>
      <w:proofErr w:type="spellEnd"/>
      <w:r>
        <w:rPr>
          <w:rFonts w:ascii="Times New Roman" w:hAnsi="Times New Roman"/>
          <w:sz w:val="24"/>
          <w:szCs w:val="24"/>
        </w:rPr>
        <w:t>-E-19-0136 számú kulturális célú támogatói okirat alapján elnyert támogatás felhasználásának jogát a közgyűlés elnökére átruházza.</w:t>
      </w:r>
    </w:p>
    <w:p w:rsidR="00447E15" w:rsidRDefault="00447E15" w:rsidP="00447E15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(13) A közgyűlés az önkormányzat által alapított kitüntetésekhez és díjakhoz járó pénzjutalom összegeit az alábbiak szerint határozza meg:</w:t>
      </w:r>
    </w:p>
    <w:p w:rsidR="00447E15" w:rsidRDefault="00447E15" w:rsidP="00447E15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 Győr-Moson-Sopron </w:t>
      </w:r>
      <w:proofErr w:type="spellStart"/>
      <w:r>
        <w:rPr>
          <w:rFonts w:ascii="Times New Roman" w:hAnsi="Times New Roman"/>
          <w:sz w:val="24"/>
          <w:szCs w:val="24"/>
        </w:rPr>
        <w:t>Megyéért</w:t>
      </w:r>
      <w:proofErr w:type="spellEnd"/>
      <w:r>
        <w:rPr>
          <w:rFonts w:ascii="Times New Roman" w:hAnsi="Times New Roman"/>
          <w:sz w:val="24"/>
          <w:szCs w:val="24"/>
        </w:rPr>
        <w:t xml:space="preserve"> Kék Szalag Kitüntető Cím esetén bruttó 350.000 Ft; </w:t>
      </w:r>
    </w:p>
    <w:p w:rsidR="00447E15" w:rsidRDefault="00447E15" w:rsidP="00447E15">
      <w:pPr>
        <w:ind w:left="1260" w:hanging="8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 Megyei Kitüntető Díjak esetén díjanként bruttó 180.000 Ft;</w:t>
      </w:r>
    </w:p>
    <w:p w:rsidR="00447E15" w:rsidRDefault="00447E15" w:rsidP="00447E15">
      <w:pPr>
        <w:ind w:left="1260" w:hanging="8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 Győr-Moson-Sopron Megye Szolgálatáért Díj tagozatai esetén díjanként bruttó 60.000 Ft.</w:t>
      </w:r>
    </w:p>
    <w:p w:rsidR="00447E15" w:rsidRDefault="00447E15" w:rsidP="00447E15">
      <w:pPr>
        <w:ind w:left="1260" w:hanging="834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ind w:left="1260" w:hanging="834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tabs>
          <w:tab w:val="right" w:pos="426"/>
          <w:tab w:val="left" w:pos="709"/>
        </w:tabs>
        <w:autoSpaceDE w:val="0"/>
        <w:autoSpaceDN w:val="0"/>
        <w:adjustRightInd w:val="0"/>
        <w:ind w:hanging="1260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pStyle w:val="Listaszerbekezds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</w:t>
      </w:r>
    </w:p>
    <w:p w:rsidR="00447E15" w:rsidRDefault="00447E15" w:rsidP="00447E15">
      <w:pPr>
        <w:ind w:left="1080"/>
        <w:rPr>
          <w:rFonts w:ascii="Times New Roman" w:hAnsi="Times New Roman"/>
          <w:b/>
          <w:sz w:val="24"/>
          <w:szCs w:val="24"/>
        </w:rPr>
      </w:pPr>
    </w:p>
    <w:p w:rsidR="00447E15" w:rsidRDefault="00447E15" w:rsidP="00447E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Záró rendelkezések</w:t>
      </w:r>
    </w:p>
    <w:p w:rsidR="00447E15" w:rsidRDefault="00447E15" w:rsidP="00447E15">
      <w:pPr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6.§</w:t>
      </w:r>
    </w:p>
    <w:p w:rsidR="00447E15" w:rsidRDefault="00447E15" w:rsidP="00447E15">
      <w:pPr>
        <w:tabs>
          <w:tab w:val="left" w:pos="0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rendeletben foglalt pénzügyi bevételi és kiadási előirányzatok 2020. január 1-jétől hatályosak.</w:t>
      </w:r>
    </w:p>
    <w:p w:rsidR="00447E15" w:rsidRDefault="00447E15" w:rsidP="00447E15">
      <w:pPr>
        <w:pStyle w:val="Listaszerbekezds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5.§ (1</w:t>
      </w:r>
      <w:r w:rsidR="00EC13E6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) bekezdésében foglalt rendelkezés hatálya a megyei önkormányzat 2021. évi költségvetési rendelete elfogadásáig tart. </w:t>
      </w:r>
    </w:p>
    <w:p w:rsidR="00447E15" w:rsidRDefault="00447E15" w:rsidP="00447E15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közgyűlés felhatalmazza elnökét, hogy a bevételek beszedéséről, továbbá a kiadások teljesítéséről – kiemelten a jogszabályokban megfogalmazott kötelező feladatok ellátására – és e rendeletben foglaltak végrehajtásáról gondoskodjon.</w:t>
      </w:r>
    </w:p>
    <w:p w:rsidR="00447E15" w:rsidRDefault="00447E15" w:rsidP="00447E15">
      <w:pPr>
        <w:pStyle w:val="Listaszerbekezds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Felhatalmazza továbbá külső pénzügyi forrásokra vonatkozó (hazai, EU-s és egyéb más) pályázatok és igénybejelentések benyújtására, valamint más szervek általi pályázatok önkormányzati támogatást – az önkormányzatnak pénzügyi kötelezettséget nem jelentő – igénylő nyilatkozatok megtételére a közgyűlés ülései között, a testület utólagos tájékoztatásával és jóváhagyásával.</w:t>
      </w:r>
    </w:p>
    <w:p w:rsidR="00447E15" w:rsidRDefault="00447E15" w:rsidP="00447E15">
      <w:pPr>
        <w:pStyle w:val="Listaszerbekezds"/>
        <w:ind w:left="426"/>
        <w:jc w:val="both"/>
        <w:rPr>
          <w:rFonts w:ascii="Times New Roman" w:hAnsi="Times New Roman"/>
          <w:sz w:val="24"/>
          <w:szCs w:val="24"/>
        </w:rPr>
      </w:pPr>
    </w:p>
    <w:p w:rsidR="00447E15" w:rsidRDefault="00447E15" w:rsidP="00447E15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rendelet 2020. február 25</w:t>
      </w:r>
      <w:r>
        <w:rPr>
          <w:rFonts w:ascii="Times New Roman" w:hAnsi="Times New Roman"/>
          <w:sz w:val="24"/>
          <w:szCs w:val="24"/>
        </w:rPr>
        <w:t>-én lép hatályba.</w:t>
      </w:r>
    </w:p>
    <w:p w:rsidR="009D15F1" w:rsidRPr="002149F6" w:rsidRDefault="009D15F1" w:rsidP="009D15F1">
      <w:pPr>
        <w:pStyle w:val="Listaszerbekezds"/>
        <w:ind w:left="360"/>
        <w:jc w:val="both"/>
        <w:rPr>
          <w:rFonts w:ascii="Times New Roman" w:hAnsi="Times New Roman"/>
          <w:sz w:val="24"/>
          <w:szCs w:val="24"/>
        </w:rPr>
      </w:pPr>
    </w:p>
    <w:p w:rsidR="009D15F1" w:rsidRDefault="009D15F1" w:rsidP="009D15F1">
      <w:pPr>
        <w:rPr>
          <w:rFonts w:ascii="Times New Roman" w:hAnsi="Times New Roman"/>
          <w:sz w:val="24"/>
          <w:szCs w:val="24"/>
        </w:rPr>
      </w:pPr>
    </w:p>
    <w:p w:rsidR="009D15F1" w:rsidRDefault="009D15F1" w:rsidP="009D15F1">
      <w:pPr>
        <w:rPr>
          <w:rFonts w:ascii="Times New Roman" w:hAnsi="Times New Roman"/>
          <w:sz w:val="24"/>
          <w:szCs w:val="24"/>
        </w:rPr>
      </w:pPr>
    </w:p>
    <w:p w:rsidR="0076004C" w:rsidRPr="002149F6" w:rsidRDefault="0076004C" w:rsidP="009D15F1">
      <w:pPr>
        <w:rPr>
          <w:rFonts w:ascii="Times New Roman" w:hAnsi="Times New Roman"/>
          <w:sz w:val="24"/>
          <w:szCs w:val="24"/>
        </w:rPr>
      </w:pPr>
    </w:p>
    <w:p w:rsidR="009D15F1" w:rsidRPr="002149F6" w:rsidRDefault="009D15F1" w:rsidP="009D15F1">
      <w:pPr>
        <w:rPr>
          <w:rFonts w:ascii="Times New Roman" w:hAnsi="Times New Roman"/>
          <w:sz w:val="24"/>
          <w:szCs w:val="24"/>
        </w:rPr>
      </w:pPr>
    </w:p>
    <w:p w:rsidR="009D15F1" w:rsidRPr="002149F6" w:rsidRDefault="009D15F1" w:rsidP="009D15F1">
      <w:pPr>
        <w:rPr>
          <w:rFonts w:ascii="Times New Roman" w:hAnsi="Times New Roman"/>
          <w:sz w:val="24"/>
          <w:szCs w:val="24"/>
        </w:rPr>
      </w:pPr>
    </w:p>
    <w:p w:rsidR="009D15F1" w:rsidRPr="002149F6" w:rsidRDefault="009D15F1" w:rsidP="009D15F1">
      <w:pPr>
        <w:tabs>
          <w:tab w:val="center" w:pos="2268"/>
          <w:tab w:val="center" w:pos="6804"/>
        </w:tabs>
        <w:rPr>
          <w:rFonts w:ascii="Times New Roman" w:hAnsi="Times New Roman"/>
          <w:b/>
          <w:sz w:val="24"/>
          <w:szCs w:val="24"/>
        </w:rPr>
      </w:pPr>
      <w:r w:rsidRPr="002149F6">
        <w:rPr>
          <w:rFonts w:ascii="Times New Roman" w:hAnsi="Times New Roman"/>
          <w:sz w:val="24"/>
          <w:szCs w:val="24"/>
        </w:rPr>
        <w:tab/>
      </w:r>
      <w:r w:rsidRPr="002149F6">
        <w:rPr>
          <w:rFonts w:ascii="Times New Roman" w:hAnsi="Times New Roman"/>
          <w:b/>
          <w:sz w:val="24"/>
          <w:szCs w:val="24"/>
        </w:rPr>
        <w:t xml:space="preserve">Dr. Szalay Zoltán </w:t>
      </w:r>
      <w:r w:rsidRPr="002149F6">
        <w:rPr>
          <w:rFonts w:ascii="Times New Roman" w:hAnsi="Times New Roman"/>
          <w:b/>
          <w:sz w:val="24"/>
          <w:szCs w:val="24"/>
        </w:rPr>
        <w:tab/>
        <w:t>Németh Zoltán</w:t>
      </w:r>
    </w:p>
    <w:p w:rsidR="009D15F1" w:rsidRPr="002149F6" w:rsidRDefault="009D15F1" w:rsidP="009D15F1">
      <w:pPr>
        <w:tabs>
          <w:tab w:val="center" w:pos="2268"/>
          <w:tab w:val="center" w:pos="6804"/>
        </w:tabs>
        <w:rPr>
          <w:rFonts w:ascii="Times New Roman" w:hAnsi="Times New Roman"/>
          <w:b/>
          <w:sz w:val="24"/>
          <w:szCs w:val="24"/>
        </w:rPr>
      </w:pPr>
      <w:r w:rsidRPr="002149F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2149F6">
        <w:rPr>
          <w:rFonts w:ascii="Times New Roman" w:hAnsi="Times New Roman"/>
          <w:b/>
          <w:sz w:val="24"/>
          <w:szCs w:val="24"/>
        </w:rPr>
        <w:t>jegyző</w:t>
      </w:r>
      <w:proofErr w:type="gramEnd"/>
      <w:r w:rsidRPr="002149F6">
        <w:rPr>
          <w:rFonts w:ascii="Times New Roman" w:hAnsi="Times New Roman"/>
          <w:b/>
          <w:sz w:val="24"/>
          <w:szCs w:val="24"/>
        </w:rPr>
        <w:tab/>
        <w:t>a közgyűlés elnöke</w:t>
      </w:r>
    </w:p>
    <w:p w:rsidR="005111F5" w:rsidRDefault="005111F5"/>
    <w:sectPr w:rsidR="005111F5" w:rsidSect="0093497A">
      <w:headerReference w:type="default" r:id="rId7"/>
      <w:pgSz w:w="11906" w:h="16838"/>
      <w:pgMar w:top="1417" w:right="1417" w:bottom="1417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5FC" w:rsidRDefault="006F176C">
      <w:r>
        <w:separator/>
      </w:r>
    </w:p>
  </w:endnote>
  <w:endnote w:type="continuationSeparator" w:id="0">
    <w:p w:rsidR="005335FC" w:rsidRDefault="006F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5FC" w:rsidRDefault="006F176C">
      <w:r>
        <w:separator/>
      </w:r>
    </w:p>
  </w:footnote>
  <w:footnote w:type="continuationSeparator" w:id="0">
    <w:p w:rsidR="005335FC" w:rsidRDefault="006F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F3" w:rsidRDefault="006944F4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EC13E6">
      <w:rPr>
        <w:noProof/>
      </w:rPr>
      <w:t>4</w:t>
    </w:r>
    <w:r>
      <w:rPr>
        <w:noProof/>
      </w:rPr>
      <w:fldChar w:fldCharType="end"/>
    </w:r>
  </w:p>
  <w:p w:rsidR="00BB7EF3" w:rsidRDefault="00EC13E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B3601"/>
    <w:multiLevelType w:val="hybridMultilevel"/>
    <w:tmpl w:val="A4FCE610"/>
    <w:lvl w:ilvl="0" w:tplc="7EE801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5E219C"/>
    <w:multiLevelType w:val="hybridMultilevel"/>
    <w:tmpl w:val="F98891A6"/>
    <w:lvl w:ilvl="0" w:tplc="239096F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49092A"/>
    <w:multiLevelType w:val="hybridMultilevel"/>
    <w:tmpl w:val="07A6A916"/>
    <w:lvl w:ilvl="0" w:tplc="E4F40A22">
      <w:start w:val="1"/>
      <w:numFmt w:val="decimal"/>
      <w:lvlText w:val="(%1)"/>
      <w:lvlJc w:val="left"/>
      <w:pPr>
        <w:ind w:left="415" w:hanging="8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6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3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0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5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2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49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695" w:hanging="180"/>
      </w:pPr>
      <w:rPr>
        <w:rFonts w:cs="Times New Roman"/>
      </w:rPr>
    </w:lvl>
  </w:abstractNum>
  <w:abstractNum w:abstractNumId="3" w15:restartNumberingAfterBreak="0">
    <w:nsid w:val="599F771E"/>
    <w:multiLevelType w:val="hybridMultilevel"/>
    <w:tmpl w:val="00BC6612"/>
    <w:lvl w:ilvl="0" w:tplc="69AC88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7F3EEE"/>
    <w:multiLevelType w:val="hybridMultilevel"/>
    <w:tmpl w:val="DECE19DE"/>
    <w:lvl w:ilvl="0" w:tplc="A8FC6F88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7"/>
    <w:rsid w:val="00447E15"/>
    <w:rsid w:val="00464B51"/>
    <w:rsid w:val="00491C37"/>
    <w:rsid w:val="005111F5"/>
    <w:rsid w:val="005335FC"/>
    <w:rsid w:val="006944F4"/>
    <w:rsid w:val="006F176C"/>
    <w:rsid w:val="0076004C"/>
    <w:rsid w:val="009D15F1"/>
    <w:rsid w:val="00EC13E6"/>
    <w:rsid w:val="00F9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05FF"/>
  <w15:chartTrackingRefBased/>
  <w15:docId w15:val="{E4AF5EBB-5AE1-4A67-B086-8700D336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15F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D15F1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9D15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D15F1"/>
    <w:rPr>
      <w:rFonts w:ascii="Calibri" w:eastAsia="Calibri" w:hAnsi="Calibri" w:cs="Times New Roman"/>
    </w:rPr>
  </w:style>
  <w:style w:type="paragraph" w:customStyle="1" w:styleId="Szvegtrzs31">
    <w:name w:val="Szövegtörzs 31"/>
    <w:basedOn w:val="Norml"/>
    <w:uiPriority w:val="99"/>
    <w:rsid w:val="009D15F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44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44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1282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Gy-M-S Megyei Önkormányzat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Kormendy Bernadett</dc:creator>
  <cp:keywords/>
  <dc:description/>
  <cp:lastModifiedBy>Szanyine dr. Vitinger Monika</cp:lastModifiedBy>
  <cp:revision>7</cp:revision>
  <cp:lastPrinted>2019-02-26T14:25:00Z</cp:lastPrinted>
  <dcterms:created xsi:type="dcterms:W3CDTF">2020-02-25T09:50:00Z</dcterms:created>
  <dcterms:modified xsi:type="dcterms:W3CDTF">2020-02-25T10:10:00Z</dcterms:modified>
</cp:coreProperties>
</file>