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19A" w:rsidRPr="007E019A" w:rsidRDefault="007E019A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1.melléklet az 4/2018.(III.29.) önkormányzati rendelethez</w:t>
      </w:r>
    </w:p>
    <w:p w:rsidR="007E019A" w:rsidRPr="007E019A" w:rsidRDefault="007E019A" w:rsidP="007E019A">
      <w:pPr>
        <w:spacing w:after="360" w:line="240" w:lineRule="auto"/>
        <w:ind w:left="425" w:hanging="425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  <w:t>A Képviselő-testület által önként vállalt feladatok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Bentlakásos ápolást és gondozást nyújtó intézményi ellátás működtetése (Egyesített Szociális Intézmény) 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Támogató szolgálat és közösségi ellátások biztosítása (Egyesített Szociális Intézmény)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Közterület-felügyelet működtetése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Non-profit</w:t>
      </w:r>
      <w:proofErr w:type="gramEnd"/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(civil) szervek és egyesületek támogatása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Egyházak támogatása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Sportszervezetek támogatása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Épülethomlokzat felújítás támogatása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Sátoraljaújhelyi születésű fiatalok életkezdési támogatása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Zemplén Televízió működéséhez önkormányzati hozzájárulás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Helyi újság kiadása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Első lakáshoz jutók helyi támogatása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Elismerő címek, kitüntetések adományozása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70 éven felüliek szemétdíj támogatása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„Tiszta </w:t>
      </w:r>
      <w:proofErr w:type="gramStart"/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Utca”   </w:t>
      </w:r>
      <w:proofErr w:type="gramEnd"/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és "Virágos Városért" akció megszervezése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spellStart"/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Bursa</w:t>
      </w:r>
      <w:proofErr w:type="spellEnd"/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Hungarica Felsőoktatási Önkormányzati Ösztöndíj támogatás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Sátoraljaújhelyben működő </w:t>
      </w:r>
      <w:proofErr w:type="gramStart"/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termelő tevékenységet</w:t>
      </w:r>
      <w:proofErr w:type="gramEnd"/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folytató, statisztikai állományi létszámot megtartó, vagy létszámot bővítő kis-, középvállalkozások, vállalkozások támogatása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Szálláshely szolgáltatás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Éttermi vendéglátás, italszolgáltatás</w:t>
      </w:r>
    </w:p>
    <w:p w:rsidR="007E019A" w:rsidRPr="007E019A" w:rsidRDefault="007E019A" w:rsidP="007E019A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Települési és tájegységi értéktár és Értéktár Bizottság működtetése</w:t>
      </w:r>
    </w:p>
    <w:p w:rsidR="007E019A" w:rsidRPr="007E019A" w:rsidRDefault="007E019A" w:rsidP="007E019A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  <w:sectPr w:rsidR="007E019A" w:rsidRPr="007E019A" w:rsidSect="00034A6A">
          <w:headerReference w:type="even" r:id="rId7"/>
          <w:headerReference w:type="default" r:id="rId8"/>
          <w:pgSz w:w="12240" w:h="15840"/>
          <w:pgMar w:top="567" w:right="851" w:bottom="567" w:left="851" w:header="352" w:footer="108" w:gutter="0"/>
          <w:cols w:space="708"/>
          <w:titlePg/>
        </w:sectPr>
      </w:pPr>
    </w:p>
    <w:p w:rsidR="007E019A" w:rsidRPr="007E019A" w:rsidRDefault="007E019A" w:rsidP="007E019A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2.melléklet az 4/2018. (III.29.) önkormányzati rendelethez</w:t>
      </w:r>
    </w:p>
    <w:p w:rsidR="007E019A" w:rsidRPr="007E019A" w:rsidRDefault="007E019A" w:rsidP="007E019A">
      <w:pPr>
        <w:spacing w:after="0" w:line="240" w:lineRule="auto"/>
        <w:rPr>
          <w:rFonts w:ascii="Cambria" w:eastAsia="Times New Roman" w:hAnsi="Cambria" w:cs="Times New Roman"/>
          <w:b/>
          <w:sz w:val="26"/>
          <w:szCs w:val="26"/>
          <w:lang w:eastAsia="hu-HU"/>
        </w:rPr>
      </w:pPr>
    </w:p>
    <w:p w:rsidR="007E019A" w:rsidRPr="007E019A" w:rsidRDefault="007E019A" w:rsidP="007E019A">
      <w:pPr>
        <w:spacing w:after="0" w:line="240" w:lineRule="auto"/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>A Képviselő-testület által bizottságaira, a polgármesterre, a jegyzőre és a társulásra átruházott feladat- és hatáskörök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tabs>
          <w:tab w:val="left" w:pos="3273"/>
        </w:tabs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ab/>
      </w:r>
    </w:p>
    <w:p w:rsidR="007E019A" w:rsidRPr="007E019A" w:rsidRDefault="007E019A" w:rsidP="007E019A">
      <w:pPr>
        <w:spacing w:after="0" w:line="240" w:lineRule="auto"/>
        <w:jc w:val="center"/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>I. Valamennyi bizottság feladat- és hatásköre: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7E019A">
          <w:rPr>
            <w:rFonts w:ascii="Cambria" w:eastAsia="Times New Roman" w:hAnsi="Cambria" w:cs="Times New Roman"/>
            <w:snapToGrid w:val="0"/>
            <w:sz w:val="24"/>
            <w:szCs w:val="24"/>
            <w:lang w:eastAsia="hu-HU"/>
          </w:rPr>
          <w:t>1. A</w:t>
        </w:r>
      </w:smartTag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bizottság előzetesen állást foglal és véleményez: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1.1. a feladatkörét érintő előterjesztésekről,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1.2. a költségvetésről és a zárszámadásról szóló rendelet-tervezetről,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1.3. a bizottság feladatát érintő területen működő intézmények vezetőinek jutalmazása, béremelése és minősítése tárgyában,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1.4. a bizottság feladatkörét érintő önkormányzati rendelettervezetről.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7E019A">
          <w:rPr>
            <w:rFonts w:ascii="Cambria" w:eastAsia="Times New Roman" w:hAnsi="Cambria" w:cs="Times New Roman"/>
            <w:snapToGrid w:val="0"/>
            <w:sz w:val="24"/>
            <w:szCs w:val="24"/>
            <w:lang w:eastAsia="hu-HU"/>
          </w:rPr>
          <w:t>2. A</w:t>
        </w:r>
      </w:smartTag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bizottság dönt: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2.1. a Képviselő-testület által átruházott jogkörökben,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2.2. az ágazatához tartozó intézmények szervezeti és működési szabályzatáról, szakmai – pedagógiai – programjáról, egyéb alapdokumentumainak jóváhagyásáról.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7E019A">
          <w:rPr>
            <w:rFonts w:ascii="Cambria" w:eastAsia="Times New Roman" w:hAnsi="Cambria" w:cs="Times New Roman"/>
            <w:snapToGrid w:val="0"/>
            <w:sz w:val="24"/>
            <w:szCs w:val="24"/>
            <w:lang w:eastAsia="hu-HU"/>
          </w:rPr>
          <w:t>3. A</w:t>
        </w:r>
      </w:smartTag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bizottság ellenőrzi határozatainak és feladatkörét érintő képviselő-testületi határozatoknak a végrehajtását, a végrehajtásért felelős személyek beszámoltatása útján.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4. A"/>
        </w:smartTagPr>
        <w:r w:rsidRPr="007E019A">
          <w:rPr>
            <w:rFonts w:ascii="Cambria" w:eastAsia="Times New Roman" w:hAnsi="Cambria" w:cs="Times New Roman"/>
            <w:snapToGrid w:val="0"/>
            <w:sz w:val="24"/>
            <w:szCs w:val="24"/>
            <w:lang w:eastAsia="hu-HU"/>
          </w:rPr>
          <w:t>4. A</w:t>
        </w:r>
      </w:smartTag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bizottság kapcsolatot tart a feladatkörét érintő szakterületen működő intézményekkel és a lakossági önszerveződő közösségekkel.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z w:val="24"/>
          <w:szCs w:val="24"/>
          <w:lang w:eastAsia="hu-HU"/>
        </w:rPr>
        <w:t>II. Az egyes bizottságok feladat- és hatásköre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sz w:val="24"/>
          <w:szCs w:val="24"/>
          <w:u w:val="single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u w:val="single"/>
          <w:lang w:eastAsia="hu-HU"/>
        </w:rPr>
        <w:t>1. Ügyrendi és Nemzetiségi Bizottság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>1.1. Előzetesen véleményezi és állást foglal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a Képviselő-testület hatáskörébe tartozó alábbi ügyekben: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1.1.1. az önkormányzat Szervezeti és Működési Szabályzatának megalkotása és módosítása,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1.1.2. valamennyi önkormányzati rendelet alkotás, módosítás,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1.1.3. helyi népszavazásra és népi kezdeményezésre vonatkozó előterjesztések,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1.1.4.más önkormányzatokkal való együttműködési megállapodásokra, igazgatási társulásokra vonatkozó előterjesztések kérdésében,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1.1.5. a nemzetiségeket érintő előterjesztésekben.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>1.2. Kivizsgálja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az összeférhetetlenség megállapítására irányuló kezdeményezéseket és a kivizsgálás eredményét a képviselő-testület elé terjeszti.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lastRenderedPageBreak/>
        <w:t>1.3. Nyilvántartja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és ellenőrzi a képviselőkkel és a képviselőkkel közös háztartásban élő házas- vagy élettárs, valamint gyermek vagyonnyilatkozatát.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>1.4. Lefolytatja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a vagyonnyilatkozattal kapcsolatos eljárást, annak eredményéről a képviselő-testületet tájékoztatja.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z w:val="24"/>
          <w:szCs w:val="24"/>
          <w:lang w:eastAsia="hu-HU"/>
        </w:rPr>
        <w:t>1.5. Átruházott hatáskörben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1.5.1. jóváhagyja a Polgármesteri Hivatal Szervezeti és Működési Szabályzatát.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sz w:val="24"/>
          <w:szCs w:val="24"/>
          <w:u w:val="single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u w:val="single"/>
          <w:lang w:eastAsia="hu-HU"/>
        </w:rPr>
        <w:t>2. Pénzügyi Bizottság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>2.1. Előzetesen állást foglal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a Képviselő-testület hatáskörébe tartozó alábbi ügyekben:</w:t>
      </w:r>
    </w:p>
    <w:p w:rsidR="007E019A" w:rsidRPr="007E019A" w:rsidRDefault="007E019A" w:rsidP="007E019A">
      <w:pPr>
        <w:tabs>
          <w:tab w:val="left" w:pos="360"/>
        </w:tabs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2.1.1. a költségvetés megállapítása, módosítása,</w:t>
      </w:r>
    </w:p>
    <w:p w:rsidR="007E019A" w:rsidRPr="007E019A" w:rsidRDefault="007E019A" w:rsidP="007E019A">
      <w:pPr>
        <w:tabs>
          <w:tab w:val="left" w:pos="360"/>
        </w:tabs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2.1.2. a zárszámadás megállapítása,</w:t>
      </w:r>
    </w:p>
    <w:p w:rsidR="007E019A" w:rsidRPr="007E019A" w:rsidRDefault="007E019A" w:rsidP="007E019A">
      <w:pPr>
        <w:tabs>
          <w:tab w:val="left" w:pos="360"/>
        </w:tabs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2.1.3. hitelfelvétel, kötvénykibocsátás, tagi kölcsön, az önkormányzat intézményeinek nyújtott kamatmentes hitel,</w:t>
      </w:r>
    </w:p>
    <w:p w:rsidR="007E019A" w:rsidRPr="007E019A" w:rsidRDefault="007E019A" w:rsidP="007E019A">
      <w:pPr>
        <w:tabs>
          <w:tab w:val="left" w:pos="360"/>
        </w:tabs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2.1.4. alapítvány létrehozása, ahhoz való csatlakozás,</w:t>
      </w:r>
    </w:p>
    <w:p w:rsidR="007E019A" w:rsidRPr="007E019A" w:rsidRDefault="007E019A" w:rsidP="007E019A">
      <w:pPr>
        <w:tabs>
          <w:tab w:val="left" w:pos="360"/>
        </w:tabs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2.1.5. helyi adó megállapítása, módosítása,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2.1.6. az önkormányzati intézmények éves gazdasági-, számviteli-, ellenőrzési programja és az ellenőrzésről szóló beszámoló elfogadása,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2.1.7. támogatások odaítélése.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2.1.8. gazdasági társaság alapítása, meglévő társaság üzletrészének, részvényének megvásárlása, vagy eladása.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pacing w:val="20"/>
          <w:sz w:val="24"/>
          <w:szCs w:val="24"/>
          <w:lang w:eastAsia="hu-HU"/>
        </w:rPr>
        <w:t>2.2. Dönt</w:t>
      </w: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 xml:space="preserve">   átruházott hatáskörben: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z w:val="24"/>
          <w:szCs w:val="24"/>
          <w:lang w:eastAsia="hu-HU"/>
        </w:rPr>
        <w:t>Behajthatatlan fizetési követelés mérsékléséről, illetve elengedéséről 100 ezer forint egyedi, értékvesztéssel nem csökkentett értéket elérően, vagy azt meghaladóan, 1 millió forint egyedi, értékvesztéssel nem csökkentett értékhatárt el nem érően – a Polgármesteri Hivatalt kivéve - jogosult dönteni, amennyiben a döntés Sátoraljaújhely Város Önkormányzatának érdekeit nem sérti.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sz w:val="24"/>
          <w:szCs w:val="24"/>
          <w:u w:val="single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u w:val="single"/>
          <w:lang w:eastAsia="hu-HU"/>
        </w:rPr>
        <w:t>3. Városüzemeltetési Bizottság</w:t>
      </w:r>
    </w:p>
    <w:p w:rsidR="007E019A" w:rsidRPr="007E019A" w:rsidRDefault="007E019A" w:rsidP="007E019A">
      <w:pPr>
        <w:spacing w:after="0" w:line="240" w:lineRule="auto"/>
        <w:ind w:left="705" w:hanging="705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 xml:space="preserve">3.1. </w:t>
      </w: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ab/>
        <w:t>Előzetesen állást foglal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a Képviselő-testület hatáskörébe tartozó alábbi ügyekben:</w:t>
      </w:r>
    </w:p>
    <w:p w:rsidR="007E019A" w:rsidRPr="007E019A" w:rsidRDefault="007E019A" w:rsidP="007E019A">
      <w:pPr>
        <w:spacing w:after="0" w:line="240" w:lineRule="auto"/>
        <w:ind w:left="709" w:hanging="709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3.1.1. 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ab/>
        <w:t>a városüzemeltetési feladatok ellátását szabályozó önkormányzati rendeletek,</w:t>
      </w:r>
    </w:p>
    <w:p w:rsidR="007E019A" w:rsidRPr="007E019A" w:rsidRDefault="007E019A" w:rsidP="007E019A">
      <w:pPr>
        <w:tabs>
          <w:tab w:val="num" w:pos="360"/>
        </w:tabs>
        <w:spacing w:after="0" w:line="240" w:lineRule="auto"/>
        <w:ind w:left="705" w:hanging="705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3.1.2. 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ab/>
        <w:t>a városüzemeltetési, műszaki fenntartási (felújítási, karbantartási) programok, tervek, előterjesztések,</w:t>
      </w:r>
    </w:p>
    <w:p w:rsidR="007E019A" w:rsidRPr="007E019A" w:rsidRDefault="007E019A" w:rsidP="007E019A">
      <w:pPr>
        <w:tabs>
          <w:tab w:val="num" w:pos="360"/>
        </w:tabs>
        <w:spacing w:after="0" w:line="240" w:lineRule="auto"/>
        <w:ind w:left="705" w:hanging="705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3.1.3.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ab/>
        <w:t>a város közmű- és közúthálózatának fejlesztésére tett javaslat,</w:t>
      </w:r>
    </w:p>
    <w:p w:rsidR="007E019A" w:rsidRPr="007E019A" w:rsidRDefault="007E019A" w:rsidP="007E019A">
      <w:pPr>
        <w:spacing w:after="0" w:line="240" w:lineRule="auto"/>
        <w:ind w:left="705" w:hanging="705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3.1.4. 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ab/>
        <w:t>a feladatkörébe tartozó intézmények, gazdasági társaságok vezetőinek megbízására irányuló javaslatokban.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 xml:space="preserve">3.2. </w:t>
      </w: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ab/>
      </w:r>
      <w:proofErr w:type="gramStart"/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>Dönt  átruházott</w:t>
      </w:r>
      <w:proofErr w:type="gramEnd"/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 xml:space="preserve"> hatáskörben:</w:t>
      </w:r>
    </w:p>
    <w:p w:rsidR="007E019A" w:rsidRPr="007E019A" w:rsidRDefault="007E019A" w:rsidP="007E019A">
      <w:pPr>
        <w:spacing w:after="0" w:line="240" w:lineRule="auto"/>
        <w:ind w:left="705" w:hanging="705"/>
        <w:jc w:val="both"/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3.2.1. 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ab/>
        <w:t>a helyi közút forgalmi rendjének kialakítása (ha jogszabály másként nem rendelkezik),</w:t>
      </w:r>
    </w:p>
    <w:p w:rsidR="007E019A" w:rsidRPr="007E019A" w:rsidRDefault="007E019A" w:rsidP="007E019A">
      <w:pPr>
        <w:spacing w:after="0" w:line="240" w:lineRule="auto"/>
        <w:ind w:left="705" w:hanging="705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3.2.2. 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ab/>
        <w:t>a képviselő-testület által az éves költségvetési rendeletben megállapított összeg erejéig és elvek figyelembevételével a rendelkezésére bocsátott előirányzat felhasználásáról,</w:t>
      </w:r>
    </w:p>
    <w:p w:rsidR="007E019A" w:rsidRPr="007E019A" w:rsidRDefault="007E019A" w:rsidP="007E019A">
      <w:pPr>
        <w:spacing w:after="0" w:line="240" w:lineRule="auto"/>
        <w:ind w:left="705" w:hanging="705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3.2.3. 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ab/>
        <w:t>a helyi rendeletben foglaltak alapján, a Gazdasági-, Városfejlesztési és Vagyongazdálkodási Bizottsággal közösen elbírálja az épületek homlokzat-felújításának támogatása iránt benyújtott pályázatokat.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sz w:val="24"/>
          <w:szCs w:val="24"/>
          <w:u w:val="single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u w:val="single"/>
          <w:lang w:eastAsia="hu-HU"/>
        </w:rPr>
        <w:t>4. Idegenforgalmi és Környezetvédelmi Bizottság</w:t>
      </w:r>
    </w:p>
    <w:p w:rsidR="007E019A" w:rsidRPr="007E019A" w:rsidRDefault="007E019A" w:rsidP="007E019A">
      <w:pPr>
        <w:spacing w:after="0" w:line="240" w:lineRule="auto"/>
        <w:ind w:left="709" w:hanging="709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lastRenderedPageBreak/>
        <w:t xml:space="preserve">4.1. </w:t>
      </w: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ab/>
        <w:t>Előzetesen véleményezi, állást foglal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a képviselő-testület hatáskörébe tartozó alábbi ügyekben: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4.1.1.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ab/>
        <w:t xml:space="preserve"> feladatkörébe tartozó előterjesztések, koncepciók,</w:t>
      </w:r>
    </w:p>
    <w:p w:rsidR="007E019A" w:rsidRPr="007E019A" w:rsidRDefault="007E019A" w:rsidP="007E019A">
      <w:pPr>
        <w:spacing w:after="0" w:line="240" w:lineRule="auto"/>
        <w:ind w:left="705" w:hanging="705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4.1.2.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ab/>
        <w:t>környezetvédelmi beruházások, fejlesztések, valamint a szakmai pályázatok előkészítésében,</w:t>
      </w:r>
    </w:p>
    <w:p w:rsidR="007E019A" w:rsidRPr="007E019A" w:rsidRDefault="007E019A" w:rsidP="007E019A">
      <w:pPr>
        <w:spacing w:after="0" w:line="240" w:lineRule="auto"/>
        <w:ind w:left="705" w:hanging="705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4.1.3.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ab/>
        <w:t>a környezetvédelmi stratégiai terv feladatai végrehajtásának szervezésében és ütemezésében,</w:t>
      </w:r>
    </w:p>
    <w:p w:rsidR="007E019A" w:rsidRPr="007E019A" w:rsidRDefault="007E019A" w:rsidP="007E019A">
      <w:pPr>
        <w:spacing w:after="0" w:line="240" w:lineRule="auto"/>
        <w:ind w:left="705" w:hanging="705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4.1.4. 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ab/>
        <w:t>a képviselő-testület által az éves költségvetési rendeletben meghatározott összeg erejéig és elvek figyelembevételével a környezetvédelmi szakfeladat előirányzat felhasználásáról,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4.1.5. 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ab/>
        <w:t>a város éves kulturális rendezvénytervéről,</w:t>
      </w:r>
    </w:p>
    <w:p w:rsidR="007E019A" w:rsidRPr="007E019A" w:rsidRDefault="007E019A" w:rsidP="007E019A">
      <w:pPr>
        <w:spacing w:after="0" w:line="240" w:lineRule="auto"/>
        <w:ind w:left="708" w:hanging="708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4.1.6. 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ab/>
        <w:t>idegenforgalmi beruházások, fejlesztések, valamint a szakmai pályázatok előkészítésében</w:t>
      </w:r>
    </w:p>
    <w:p w:rsidR="007E019A" w:rsidRPr="007E019A" w:rsidRDefault="007E019A" w:rsidP="007E019A">
      <w:pPr>
        <w:spacing w:after="0" w:line="240" w:lineRule="auto"/>
        <w:ind w:left="708" w:hanging="708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4.1.7. 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ab/>
        <w:t>az idegenforgalmi adó megállapítása, módosítása.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sz w:val="24"/>
          <w:szCs w:val="24"/>
          <w:u w:val="single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u w:val="single"/>
          <w:lang w:eastAsia="hu-HU"/>
        </w:rPr>
        <w:t xml:space="preserve">5. Gazdasági, Városfejlesztési és </w:t>
      </w:r>
      <w:proofErr w:type="gramStart"/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u w:val="single"/>
          <w:lang w:eastAsia="hu-HU"/>
        </w:rPr>
        <w:t>Vagyongazdálkodási  Bizottság</w:t>
      </w:r>
      <w:proofErr w:type="gramEnd"/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>5.1. Előzetesen állást foglal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a képviselő-testület hatáskörébe tartozó alábbi ügyekben: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5.1.1. a város gazdasági, ipari, kereskedelmi, mezőgazdasági, szolgáltatási és munkaerő helyzetére vonatkozó elemzések, fejlesztési programok, tervek, előterjesztések,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5.1.2. a város gazdasági szervezeteivel, szereplőivel kapcsolatos együttműködési formák,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5.1.3. a helyi iparűzési adó megállapítása, módosítása, 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5.1.4. a város településrendezési eszközeinek jóváhagyása, módosítása,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5.1.5. belterületi határokra, illetve annak módosítására tett javaslatok,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5.1.6. a város közmű- és közúthálózatának fejlesztésére tett javaslat,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5.1.7. a fejlesztési beruházások (út, közmű, épület felújítás) végrehajtásának témájában,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5.1.8. vagyonkezeléssel és gazdálkodással kapcsolatos koncepciók, önkormányzati rendeletek,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5.1.9. önkormányzati vagyon átminősítése kérdésében,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5.1.10. önkormányzati vagyon elidegenítése, gazdasági társaságba vagy alapítványba történő bevitele, térítésmentes átadása, közérdekű kötelezettség vállalása,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5.1.11. lakáshoz jutás helyi támogatása,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5.1.12. önkormányzati lakás városérdekből történő bérbeadása,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5.1.13. a korlátozottan forgalomképes és vállalkozói vagyon körébe tartozó vagyontárgyak tekintetében a 10 évet meghaladó bérbeadásról, használatba adásról és haszonbérletről,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5.1.14. az önkormányzati beruházásokhoz fejlesztési koncepciók előkészítése,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5.1.15. </w:t>
      </w:r>
      <w:r w:rsidRPr="007E019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Sátoraljaújhelyben működő, </w:t>
      </w:r>
      <w:proofErr w:type="gramStart"/>
      <w:r w:rsidRPr="007E019A">
        <w:rPr>
          <w:rFonts w:ascii="Cambria" w:eastAsia="Times New Roman" w:hAnsi="Cambria" w:cs="Times New Roman"/>
          <w:sz w:val="24"/>
          <w:szCs w:val="24"/>
          <w:lang w:eastAsia="hu-HU"/>
        </w:rPr>
        <w:t>termelő tevékenységet</w:t>
      </w:r>
      <w:proofErr w:type="gramEnd"/>
      <w:r w:rsidRPr="007E019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folytató, statisztikai állományi létszámot megtartó, vagy létszámot bővítő kis-, középvállalkozások, vállalkozások támogatása pályázatok kiírása, majd elbírálása ügyében. 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 xml:space="preserve">5.2. Dönt átruházott hatáskörben 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5.2.1. lakások bérbeadásáról, kivéve városérdekből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5.2.2. nem lakás céljára szolgáló helyiség határozott időre történő bérbeadásáról, helyiség bérleti jogának átruházásához való hozzájárulás tárgyában,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5.2.3. az 5.2.1. és 5.2.2 pontokba nem tartozó korlátozottan forgalomképes és üzleti vagyon körébe tartozó vagyontárgyak tekintetében a 10 évet meg nem haladó bérbeadásról, használatba adásról és haszonbérletről,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5.2.4. önkormányzati tulajdonban lévő ingatlant érintő szolgalmi jog alapításáról,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Garamond"/>
          <w:sz w:val="24"/>
          <w:szCs w:val="24"/>
          <w:lang w:eastAsia="hu-HU"/>
        </w:rPr>
      </w:pP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>5.2.5.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 xml:space="preserve"> lakás és helyiség esetében felújítási költségek bérleti díjba történő beszámítás</w:t>
      </w: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>áról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>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  <w:lang w:eastAsia="hu-HU"/>
        </w:rPr>
      </w:pP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lastRenderedPageBreak/>
        <w:t xml:space="preserve">5.2.6. 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>a</w:t>
      </w: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 xml:space="preserve"> lakás és nem lakás céljára szolgáló helyiségek esetében, a 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 xml:space="preserve">7/2006.(V.24.) TNM rendelet 1. mellékletében rögzített </w:t>
      </w: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 xml:space="preserve">nyílászárók beszereléséhez 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>hozzájárulás megadás</w:t>
      </w: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>áról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>,</w:t>
      </w: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 xml:space="preserve"> a költség bérleti díjba </w:t>
      </w:r>
      <w:proofErr w:type="gramStart"/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>történő  50</w:t>
      </w:r>
      <w:proofErr w:type="gramEnd"/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 xml:space="preserve"> %-ban történő beszámításáról,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  <w:lang w:eastAsia="hu-HU"/>
        </w:rPr>
      </w:pP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 xml:space="preserve">5.2.7. 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>bérlőtársi jogviszony engedélyezés</w:t>
      </w: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>éről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>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  <w:lang w:eastAsia="hu-HU"/>
        </w:rPr>
      </w:pP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>5.2.8. városérdekből történő bérbeadás esetén hiányszakmák megállapításáról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>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Garamond"/>
          <w:sz w:val="24"/>
          <w:szCs w:val="24"/>
          <w:lang w:eastAsia="hu-HU"/>
        </w:rPr>
      </w:pP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 xml:space="preserve">5.2.9. 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>a lakástörvény 23.§ (3) bekezdésének fennállása esetén a lakásbérleti szerződés közös megegyezéssel történő megszüntetéséről, másik lakás bérbeadásáról, vagy pénzbeli térítés megállapítás</w:t>
      </w: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>áról,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5.2.10. a helyi rendeletben foglaltak szerint, a Városüzemeltetési Bizottsággal közösen elbírálja az épületek homlokzat-felújításának támogatása iránt benyújtott pályázatokat.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sz w:val="24"/>
          <w:szCs w:val="24"/>
          <w:u w:val="single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u w:val="single"/>
          <w:lang w:eastAsia="hu-HU"/>
        </w:rPr>
        <w:t>6. Nevelési-Ifjúsági, Civil-Sportügyi és Közművelődési Bizottság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>6.1. Előzetesen véleményezi és állást foglal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a képviselő-testület hatáskörébe tartozó alábbi ügyekben: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6.1.1. köznevelési és közművelődési önkormányzati intézmények alapítása, átszervezése, vagy megszüntetése,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6.1.2. a város óvodai ellátásáról, közművelődési helyzetéről szóló beszámolók, programok, koncepciók,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6.1.3. köznevelést, közművelődést érintő pénzügyi, gazdasági előterjesztések,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6.1.4. köznevelési, közművelődési intézmények vezetőinek kinevezésére irányuló javaslatok,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6.1.5. közterületen elhelyezésre kerülő művészeti alkotások előzetes tervei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6.1.6. az ifjúságot, a civil szervezeteket és a sportot érintő önkormányzati előterjesztések,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6.1.7. az önkormányzat és intézményei szervezésében, valamint a civil önszerveződések által létrejött programokról, segíti azok eredményességét és koordinálja azokat.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6.1.8. részben már elfogadott, részben kidolgozandó koncepció alapján: a civil szervezetekkel, az ifjúsággal és a város sportéletével összhangban gondoskodik a kapcsolatok fejlesztéséről és új programok kidolgozásáról, ennek tartalmi megvalósítását figyelemmel kíséri.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6.1.9. a város éves kulturális rendezvénytervéről,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6.1.10. a köznevelési, közművelődési önkormányzati intézmények vezető állású dolgozóinak szakmai kitüntetésre való felterjesztése.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6.1.11. a képviselő-testület által az éves költségvetési rendeletben meghatározott összeg erejéig és elvek figyelembevételével az oktatási, közművelődési szakfeladat előirányzatainak felhasználásáról,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6.1.12. a civil- és ifjúsági szervezetek támogatására előirányzott összeg felhasználásáról.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6.1.13. a nyilvános könyvtári szolgáltatást és a közművelődési feladatokat ellátó intézmények éves munkaterve.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>6.2. Dönt átruházott hatáskörben: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6.2.2. megállapítja, módosítja az óvodai körzethatárokat,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6.2.3. jóváhagyja az óvodák és közművelődési intézmények esélyegyenlőségi programját,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6.2.4. jóváhagyja a nevelési intézmény nevelési, illetve pedagógiai programját,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6.2.5. dönt az óvodába történő jelentkezés módjáról, a felvétel időpontjáról,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6.2.6. megállapítja a nevelési, közművelődési intézmények heti és éves nyitva tartását,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6.2.7. a civil- és ifjúsági szervezetek támogatására előirányzott összeg felhasználásáról,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6.2.8. jóváhagyja a köznevelési és közművelődési ágazathoz tartozó intézmények házirendjét, valamint azok módosítását.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mallCaps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sz w:val="24"/>
          <w:szCs w:val="24"/>
          <w:u w:val="single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u w:val="single"/>
          <w:lang w:eastAsia="hu-HU"/>
        </w:rPr>
        <w:lastRenderedPageBreak/>
        <w:t>7. Szociális és Egészségügyi Bizottság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>7.1. Előzetesen állást foglal</w:t>
      </w: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a képviselő-testület hatáskörébe tartozó alábbi ügyekben: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7.1.1. szociális alapellátással, koncepcióval kapcsolatos előterjesztések,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7.1.2. egészségügyi alapellátást érintő előterjesztések,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7.1.3. szociális és egészségügyi ellátást érintő pénzügyi és gazdasági ügyekben,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7.1.4. a szociális és egészségügyi ellátást szabályozó rendelet megalkotásában, módosításában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7.1.5. a </w:t>
      </w:r>
      <w:proofErr w:type="spellStart"/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Bursa</w:t>
      </w:r>
      <w:proofErr w:type="spellEnd"/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Hungarica Felsőoktatási Ösztöndíj Pályázati rendszerhez történő csatlakozással, valamint a benyújtott pályázatok elbírálásával kapcsolatban.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>7.2. Dönt átruházott hatáskörben: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7.2.1. települési támogatás megállapítása, megszüntetése, felülvizsgálata,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7.2.2. rendkívüli települési támogatás megállapítása, megszüntetése, felülvizsgálata,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7.2.3. a hatáskörébe tartozó szociális támogatások esetében a </w:t>
      </w:r>
      <w:proofErr w:type="spellStart"/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jogosulatlanul</w:t>
      </w:r>
      <w:proofErr w:type="spellEnd"/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és rosszhiszeműen </w:t>
      </w:r>
      <w:proofErr w:type="spellStart"/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igénybevett</w:t>
      </w:r>
      <w:proofErr w:type="spellEnd"/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ellátás visszatérítésére való kötelezés, továbbá a megtérítés és a kamat összegének </w:t>
      </w:r>
      <w:proofErr w:type="spellStart"/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méltányosságból</w:t>
      </w:r>
      <w:proofErr w:type="spellEnd"/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való elengedése, csökkentése, illetve részletekben történő visszafizettetése, 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7.2.5. jóváhagyja a szociális ágazathoz tartozó intézmény házirendjét, kormányrendelet vagy magasabb szintű jogszabály által előírt egyéb szabályzatokat és szakmai programokat, valamint azok módosítását.</w:t>
      </w:r>
    </w:p>
    <w:p w:rsidR="007E019A" w:rsidRPr="007E019A" w:rsidRDefault="007E019A" w:rsidP="007E019A">
      <w:pPr>
        <w:spacing w:after="0" w:line="240" w:lineRule="auto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>III.  A polgármesterre átruházott feladat- és hatáskörök: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1. Elemi kár mértékének megállapítására kárbecslő bizottságot hoz létre.</w:t>
      </w:r>
    </w:p>
    <w:p w:rsidR="007E019A" w:rsidRPr="007E019A" w:rsidRDefault="007E019A" w:rsidP="007E019A">
      <w:pPr>
        <w:spacing w:after="0" w:line="240" w:lineRule="auto"/>
        <w:ind w:left="567" w:hanging="567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z w:val="24"/>
          <w:szCs w:val="24"/>
          <w:lang w:eastAsia="hu-HU"/>
        </w:rPr>
        <w:t>2.Tulajdonosi hozzájárulás megadása.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3. L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>akás és hely</w:t>
      </w: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>iség esetében építési ügyekben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 xml:space="preserve"> tulajdonosi hozzájárulás megadása.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4. A város címere használatának engedélyezése.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5. </w:t>
      </w:r>
      <w:proofErr w:type="gramStart"/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Május</w:t>
      </w:r>
      <w:proofErr w:type="gramEnd"/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elsejei rendezvények helyszínének megállapítása, a nemzeti és városi ünnepeken az ünnepi szónok felkérése.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6. A"/>
        </w:smartTagPr>
        <w:r w:rsidRPr="007E019A">
          <w:rPr>
            <w:rFonts w:ascii="Cambria" w:eastAsia="Times New Roman" w:hAnsi="Cambria" w:cs="Times New Roman"/>
            <w:snapToGrid w:val="0"/>
            <w:sz w:val="24"/>
            <w:szCs w:val="24"/>
            <w:lang w:eastAsia="hu-HU"/>
          </w:rPr>
          <w:t>6. A</w:t>
        </w:r>
      </w:smartTag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korlátozottan forgalomképes és az egyéb (üzleti) vagyon körébe tartozó vagyontárgyak jelzálogjoggal való megterhelésének engedélyezése,</w:t>
      </w:r>
    </w:p>
    <w:p w:rsidR="007E019A" w:rsidRPr="007E019A" w:rsidRDefault="007E019A" w:rsidP="007E019A">
      <w:pPr>
        <w:spacing w:after="0" w:line="240" w:lineRule="auto"/>
        <w:ind w:left="567" w:hanging="567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7. Az elővásárlási jogról történő lemondás.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8. a"/>
        </w:smartTagPr>
        <w:r w:rsidRPr="007E019A">
          <w:rPr>
            <w:rFonts w:ascii="Cambria" w:eastAsia="Times New Roman" w:hAnsi="Cambria" w:cs="Times New Roman"/>
            <w:snapToGrid w:val="0"/>
            <w:sz w:val="24"/>
            <w:szCs w:val="24"/>
            <w:lang w:eastAsia="hu-HU"/>
          </w:rPr>
          <w:t>8. A</w:t>
        </w:r>
      </w:smartTag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nem kizárólagos önkormányzati tulajdonú gazdasági és nonprofit társaságban az önkormányzat képviselete, melynek gyakorlására akadályoztatása esetén jogosult megbízni a Képviselő-testület tagját, a jegyzőt, vagy a Polgármesteri Hivatal köztisztviselőjét; a képviselet gyakorlása során hozott döntéshez, előzetes hozzájárulást köteles beszerezni a képviselő-testület részéről:</w:t>
      </w:r>
    </w:p>
    <w:p w:rsidR="007E019A" w:rsidRPr="007E019A" w:rsidRDefault="007E019A" w:rsidP="007E019A">
      <w:pPr>
        <w:spacing w:after="0" w:line="240" w:lineRule="auto"/>
        <w:ind w:left="567" w:hanging="567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8.1. a gazdasági, közhasznú társaság átalakulása, megszűnése,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8.2. az önkormányzat költségvetését terhelő pénzügyi, vagyoni kötelezettséget megállapító döntés meghozatala,</w:t>
      </w:r>
    </w:p>
    <w:p w:rsidR="007E019A" w:rsidRPr="007E019A" w:rsidRDefault="007E019A" w:rsidP="007E019A">
      <w:pPr>
        <w:spacing w:after="0" w:line="240" w:lineRule="auto"/>
        <w:ind w:left="567" w:hanging="567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8.3. az önkormányzat tagsági jogait érintő döntés,</w:t>
      </w:r>
    </w:p>
    <w:p w:rsidR="007E019A" w:rsidRPr="007E019A" w:rsidRDefault="007E019A" w:rsidP="007E019A">
      <w:pPr>
        <w:spacing w:after="0" w:line="240" w:lineRule="auto"/>
        <w:ind w:left="567" w:hanging="567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8.4. mérleg, üzleti terv elfogadása, eredmény felosztása esetén.</w:t>
      </w:r>
    </w:p>
    <w:p w:rsidR="007E019A" w:rsidRPr="007E019A" w:rsidRDefault="007E019A" w:rsidP="007E019A">
      <w:pPr>
        <w:tabs>
          <w:tab w:val="left" w:pos="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z w:val="24"/>
          <w:szCs w:val="24"/>
          <w:lang w:eastAsia="hu-HU"/>
        </w:rPr>
        <w:t>9. Behajthatatlan fizetési követelés mérsékléséről, illetve elengedéséről 100 ezer forint egyedi, értékvesztéssel nem csökkentett értéket el nem érően a Polgármesteri Hivatalnál a polgármester jogosult dönteni, amennyiben a döntés Sátoraljaújhely Város Önkormányzatának érdekeit nem sérti.</w:t>
      </w:r>
    </w:p>
    <w:p w:rsidR="007E019A" w:rsidRPr="007E019A" w:rsidRDefault="007E019A" w:rsidP="007E019A">
      <w:pPr>
        <w:keepLines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noProof/>
          <w:sz w:val="24"/>
          <w:szCs w:val="24"/>
          <w:lang w:eastAsia="hu-HU"/>
        </w:rPr>
        <w:t>10. Döntés köztemetés elrendelése, megtérítésre való kötelezés és a megtérítési kötelezettség alóli mentesítés ügyekben.</w:t>
      </w:r>
    </w:p>
    <w:p w:rsidR="007E019A" w:rsidRPr="007E019A" w:rsidRDefault="007E019A" w:rsidP="007E019A">
      <w:pPr>
        <w:tabs>
          <w:tab w:val="left" w:pos="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z w:val="24"/>
          <w:szCs w:val="24"/>
          <w:lang w:eastAsia="hu-HU"/>
        </w:rPr>
        <w:t>11. Magántulajdonú lakások bérbevétele.</w:t>
      </w:r>
    </w:p>
    <w:p w:rsidR="007E019A" w:rsidRPr="007E019A" w:rsidRDefault="007E019A" w:rsidP="007E019A">
      <w:pPr>
        <w:tabs>
          <w:tab w:val="left" w:pos="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z w:val="24"/>
          <w:szCs w:val="24"/>
          <w:lang w:eastAsia="hu-HU"/>
        </w:rPr>
        <w:lastRenderedPageBreak/>
        <w:t>12. Védett övezetbe behajtási engedély megadása, visszavonása 7,5 tonna összsúlyt meghaladó gépjármű esetében.</w:t>
      </w:r>
    </w:p>
    <w:p w:rsidR="007E019A" w:rsidRPr="007E019A" w:rsidRDefault="007E019A" w:rsidP="007E019A">
      <w:pPr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7E019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13. </w:t>
      </w:r>
      <w:r w:rsidRPr="007E019A">
        <w:rPr>
          <w:rFonts w:ascii="Garamond" w:eastAsia="Times New Roman" w:hAnsi="Garamond" w:cs="Times New Roman"/>
          <w:sz w:val="26"/>
          <w:szCs w:val="26"/>
          <w:lang w:eastAsia="hu-HU"/>
        </w:rPr>
        <w:t>Az önkormányzat tulajdonában álló közterület filmforgatás céljából történő igénybevétele esetén a Kormányhivatal megkeresésére a hatósági szerződés jóváhagyása, elutasítására, egyeztetések lefolytatása.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ind w:left="709" w:hanging="709"/>
        <w:jc w:val="center"/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>IV. A jegyzőre átruházott feladat és hatáskörök</w:t>
      </w:r>
    </w:p>
    <w:p w:rsidR="007E019A" w:rsidRPr="007E019A" w:rsidRDefault="007E019A" w:rsidP="007E019A">
      <w:pPr>
        <w:spacing w:after="0" w:line="240" w:lineRule="auto"/>
        <w:ind w:left="709" w:hanging="709"/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ind w:left="709" w:hanging="709"/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b/>
          <w:snapToGrid w:val="0"/>
          <w:sz w:val="24"/>
          <w:szCs w:val="24"/>
          <w:lang w:eastAsia="hu-HU"/>
        </w:rPr>
        <w:t>Átruházott hatáskörben dönt:</w:t>
      </w:r>
    </w:p>
    <w:p w:rsidR="007E019A" w:rsidRPr="007E019A" w:rsidRDefault="007E019A" w:rsidP="007E019A">
      <w:pPr>
        <w:spacing w:after="0" w:line="240" w:lineRule="auto"/>
        <w:ind w:left="709" w:hanging="709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7E019A">
          <w:rPr>
            <w:rFonts w:ascii="Cambria" w:eastAsia="Times New Roman" w:hAnsi="Cambria" w:cs="Times New Roman"/>
            <w:snapToGrid w:val="0"/>
            <w:sz w:val="24"/>
            <w:szCs w:val="24"/>
            <w:lang w:eastAsia="hu-HU"/>
          </w:rPr>
          <w:t>1. a</w:t>
        </w:r>
      </w:smartTag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helyi adók vonatkozásában benyújtott méltányossági fellebbezések elbírálásáról,</w:t>
      </w:r>
    </w:p>
    <w:p w:rsidR="007E019A" w:rsidRPr="007E019A" w:rsidRDefault="007E019A" w:rsidP="007E019A">
      <w:pPr>
        <w:spacing w:after="0" w:line="240" w:lineRule="auto"/>
        <w:ind w:left="709" w:hanging="709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2.  városi közmunkaprogramok előkészítése, lebonyolítása tárgyában, továbbá munkáltatói jogkört gyakorol,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3. az önkormányzati vagyont érintő hatósági eljárásban a nyilatkozattételi jog, a közigazgatási és bírósági eljárásban az ügyféljog gyakorlása személyesen, vagy az általa megbízott személy útján,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4. a közterület-használat engedélyezése és a közterülettel kapcsolatos egyéb hatósági ügyekben,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  <w:lang w:eastAsia="hu-HU"/>
        </w:rPr>
      </w:pP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>5.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 xml:space="preserve"> </w:t>
      </w: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>l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>akás és helyiség bérleti jogviszonyának felmondása és az azt megelőző intézkedések meghozatala,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  <w:lang w:eastAsia="hu-HU"/>
        </w:rPr>
      </w:pP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 xml:space="preserve">6. 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>pénzbeli térítés megállapítása cserelakás biztosítása helyett a lakástörvény 26.§ (1) bekezdés szerinti felmondás esetén,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  <w:lang w:eastAsia="hu-HU"/>
        </w:rPr>
      </w:pP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>7.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 xml:space="preserve"> jogcím nélkül használt lakás és helyiség kiürítése érdekében a szükséges intézkedések megtétele, 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  <w:lang w:eastAsia="hu-HU"/>
        </w:rPr>
      </w:pP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 xml:space="preserve">8. 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 xml:space="preserve">lakásbérleti jogának másik lakásbérleti vagy tulajdonjogára történő cseréjéhez való hozzájárulás megadása, 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9. a"/>
        </w:smartTagPr>
        <w:r w:rsidRPr="007E019A">
          <w:rPr>
            <w:rFonts w:ascii="Cambria" w:eastAsia="Times New Roman" w:hAnsi="Cambria" w:cs="Garamond"/>
            <w:sz w:val="24"/>
            <w:szCs w:val="24"/>
            <w:lang w:eastAsia="hu-HU"/>
          </w:rPr>
          <w:t xml:space="preserve">9. </w:t>
        </w:r>
        <w:r w:rsidRPr="007E019A">
          <w:rPr>
            <w:rFonts w:ascii="Cambria" w:eastAsia="Calibri" w:hAnsi="Cambria" w:cs="Garamond"/>
            <w:sz w:val="24"/>
            <w:szCs w:val="24"/>
            <w:lang w:eastAsia="hu-HU"/>
          </w:rPr>
          <w:t>a</w:t>
        </w:r>
      </w:smartTag>
      <w:r w:rsidRPr="007E019A">
        <w:rPr>
          <w:rFonts w:ascii="Cambria" w:eastAsia="Calibri" w:hAnsi="Cambria" w:cs="Garamond"/>
          <w:sz w:val="24"/>
          <w:szCs w:val="24"/>
          <w:lang w:eastAsia="hu-HU"/>
        </w:rPr>
        <w:t xml:space="preserve"> lakás bérlője által – a lakástörvény 21.§ (2) bekezdés kivételével – más személy befogadásához a hozzájárulás megadása,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0. a"/>
        </w:smartTagPr>
        <w:r w:rsidRPr="007E019A">
          <w:rPr>
            <w:rFonts w:ascii="Cambria" w:eastAsia="Times New Roman" w:hAnsi="Cambria" w:cs="Garamond"/>
            <w:sz w:val="24"/>
            <w:szCs w:val="24"/>
            <w:lang w:eastAsia="hu-HU"/>
          </w:rPr>
          <w:t xml:space="preserve">10. </w:t>
        </w:r>
        <w:r w:rsidRPr="007E019A">
          <w:rPr>
            <w:rFonts w:ascii="Cambria" w:eastAsia="Calibri" w:hAnsi="Cambria" w:cs="Garamond"/>
            <w:sz w:val="24"/>
            <w:szCs w:val="24"/>
            <w:lang w:eastAsia="hu-HU"/>
          </w:rPr>
          <w:t>a</w:t>
        </w:r>
      </w:smartTag>
      <w:r w:rsidRPr="007E019A">
        <w:rPr>
          <w:rFonts w:ascii="Cambria" w:eastAsia="Calibri" w:hAnsi="Cambria" w:cs="Garamond"/>
          <w:sz w:val="24"/>
          <w:szCs w:val="24"/>
          <w:lang w:eastAsia="hu-HU"/>
        </w:rPr>
        <w:t xml:space="preserve"> lakás egy részének határozott időre, legfeljebb egy évre kizárólag lakás céljára történő albérletbe adásához való hozzájárulás,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1. a"/>
        </w:smartTagPr>
        <w:r w:rsidRPr="007E019A">
          <w:rPr>
            <w:rFonts w:ascii="Cambria" w:eastAsia="Times New Roman" w:hAnsi="Cambria" w:cs="Garamond"/>
            <w:sz w:val="24"/>
            <w:szCs w:val="24"/>
            <w:lang w:eastAsia="hu-HU"/>
          </w:rPr>
          <w:t xml:space="preserve">11. </w:t>
        </w:r>
        <w:r w:rsidRPr="007E019A">
          <w:rPr>
            <w:rFonts w:ascii="Cambria" w:eastAsia="Calibri" w:hAnsi="Cambria" w:cs="Garamond"/>
            <w:sz w:val="24"/>
            <w:szCs w:val="24"/>
            <w:lang w:eastAsia="hu-HU"/>
          </w:rPr>
          <w:t>a</w:t>
        </w:r>
      </w:smartTag>
      <w:r w:rsidRPr="007E019A">
        <w:rPr>
          <w:rFonts w:ascii="Cambria" w:eastAsia="Calibri" w:hAnsi="Cambria" w:cs="Garamond"/>
          <w:sz w:val="24"/>
          <w:szCs w:val="24"/>
          <w:lang w:eastAsia="hu-HU"/>
        </w:rPr>
        <w:t xml:space="preserve"> lakásbérleti jog folytatása érdekében tartási szerződés megkötéséhez történő hozzájárulás,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  <w:lang w:eastAsia="hu-HU"/>
        </w:rPr>
      </w:pP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 xml:space="preserve">12. 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>lakásbérleti jogviszony folytatásához történő hozzájárulás megadása,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3. a"/>
        </w:smartTagPr>
        <w:r w:rsidRPr="007E019A">
          <w:rPr>
            <w:rFonts w:ascii="Cambria" w:eastAsia="Times New Roman" w:hAnsi="Cambria" w:cs="Garamond"/>
            <w:sz w:val="24"/>
            <w:szCs w:val="24"/>
            <w:lang w:eastAsia="hu-HU"/>
          </w:rPr>
          <w:t xml:space="preserve">13. </w:t>
        </w:r>
        <w:r w:rsidRPr="007E019A">
          <w:rPr>
            <w:rFonts w:ascii="Cambria" w:eastAsia="Calibri" w:hAnsi="Cambria" w:cs="Garamond"/>
            <w:sz w:val="24"/>
            <w:szCs w:val="24"/>
            <w:lang w:eastAsia="hu-HU"/>
          </w:rPr>
          <w:t>a</w:t>
        </w:r>
      </w:smartTag>
      <w:r w:rsidRPr="007E019A">
        <w:rPr>
          <w:rFonts w:ascii="Cambria" w:eastAsia="Calibri" w:hAnsi="Cambria" w:cs="Garamond"/>
          <w:sz w:val="24"/>
          <w:szCs w:val="24"/>
          <w:lang w:eastAsia="hu-HU"/>
        </w:rPr>
        <w:t xml:space="preserve"> Vagyongazdálkodási Bizottság által nyertesnek nyilvánított pályázóval a lakásbérleti, illetve a helyiségbérleti szerződés</w:t>
      </w:r>
      <w:r w:rsidRPr="007E019A">
        <w:rPr>
          <w:rFonts w:ascii="Cambria" w:eastAsia="Times New Roman" w:hAnsi="Cambria" w:cs="Garamond"/>
          <w:sz w:val="24"/>
          <w:szCs w:val="24"/>
          <w:lang w:eastAsia="hu-HU"/>
        </w:rPr>
        <w:t xml:space="preserve"> megkötése</w:t>
      </w:r>
      <w:r w:rsidRPr="007E019A">
        <w:rPr>
          <w:rFonts w:ascii="Cambria" w:eastAsia="Calibri" w:hAnsi="Cambria" w:cs="Garamond"/>
          <w:sz w:val="24"/>
          <w:szCs w:val="24"/>
          <w:lang w:eastAsia="hu-HU"/>
        </w:rPr>
        <w:t>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4. a"/>
        </w:smartTagPr>
        <w:r w:rsidRPr="007E019A">
          <w:rPr>
            <w:rFonts w:ascii="Cambria" w:eastAsia="Times New Roman" w:hAnsi="Cambria" w:cs="Garamond"/>
            <w:sz w:val="24"/>
            <w:szCs w:val="24"/>
            <w:lang w:eastAsia="hu-HU"/>
          </w:rPr>
          <w:t xml:space="preserve">14. </w:t>
        </w:r>
        <w:r w:rsidRPr="007E019A">
          <w:rPr>
            <w:rFonts w:ascii="Cambria" w:eastAsia="Calibri" w:hAnsi="Cambria" w:cs="Garamond"/>
            <w:sz w:val="24"/>
            <w:szCs w:val="24"/>
            <w:lang w:eastAsia="hu-HU"/>
          </w:rPr>
          <w:t>a</w:t>
        </w:r>
      </w:smartTag>
      <w:r w:rsidRPr="007E019A">
        <w:rPr>
          <w:rFonts w:ascii="Cambria" w:eastAsia="Calibri" w:hAnsi="Cambria" w:cs="Garamond"/>
          <w:sz w:val="24"/>
          <w:szCs w:val="24"/>
          <w:lang w:eastAsia="hu-HU"/>
        </w:rPr>
        <w:t xml:space="preserve"> lakbértámogatás megállapítása,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5. a"/>
        </w:smartTagPr>
        <w:r w:rsidRPr="007E019A">
          <w:rPr>
            <w:rFonts w:ascii="Cambria" w:eastAsia="Calibri" w:hAnsi="Cambria" w:cs="Garamond"/>
            <w:sz w:val="24"/>
            <w:szCs w:val="24"/>
            <w:lang w:eastAsia="hu-HU"/>
          </w:rPr>
          <w:t>15. a</w:t>
        </w:r>
      </w:smartTag>
      <w:r w:rsidRPr="007E019A">
        <w:rPr>
          <w:rFonts w:ascii="Cambria" w:eastAsia="Calibri" w:hAnsi="Cambria" w:cs="Garamond"/>
          <w:sz w:val="24"/>
          <w:szCs w:val="24"/>
          <w:lang w:eastAsia="hu-HU"/>
        </w:rPr>
        <w:t xml:space="preserve"> lakás bérleti díj, valamint lakáshasználati díj tartozás, nem lakás céljára szolgáló helyiségek bérleti díj tartozása esetén a behajtás érdekben a szükséges intézkedések megtétele,</w:t>
      </w:r>
    </w:p>
    <w:p w:rsidR="007E019A" w:rsidRPr="007E019A" w:rsidRDefault="007E019A" w:rsidP="007E019A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  <w:lang w:eastAsia="hu-HU"/>
        </w:rPr>
      </w:pPr>
      <w:r w:rsidRPr="007E019A">
        <w:rPr>
          <w:rFonts w:ascii="Cambria" w:eastAsia="Calibri" w:hAnsi="Cambria" w:cs="Garamond"/>
          <w:sz w:val="24"/>
          <w:szCs w:val="24"/>
          <w:lang w:eastAsia="hu-HU"/>
        </w:rPr>
        <w:t>16. igazolás kiadása a hulladékgazdálkodási közszolgáltatásról szóló 10/2016.(III.24.) önkormányzati rendelet 17.§ (3)-(4) bekezdéseiben foglalt mentességre vonatkozóan.</w:t>
      </w:r>
    </w:p>
    <w:p w:rsidR="007E019A" w:rsidRPr="007E019A" w:rsidRDefault="007E019A" w:rsidP="007E019A">
      <w:pPr>
        <w:spacing w:after="0" w:line="240" w:lineRule="auto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napToGrid w:val="0"/>
          <w:sz w:val="26"/>
          <w:szCs w:val="26"/>
          <w:lang w:eastAsia="hu-HU"/>
        </w:rPr>
      </w:pPr>
      <w:r w:rsidRPr="007E019A">
        <w:rPr>
          <w:rFonts w:ascii="Garamond" w:eastAsia="Times New Roman" w:hAnsi="Garamond" w:cs="Times New Roman"/>
          <w:b/>
          <w:snapToGrid w:val="0"/>
          <w:sz w:val="26"/>
          <w:szCs w:val="26"/>
          <w:lang w:eastAsia="hu-HU"/>
        </w:rPr>
        <w:t>V. Az önkormányzati társulásra átruházott hatáskörök</w:t>
      </w:r>
    </w:p>
    <w:p w:rsidR="007E019A" w:rsidRPr="007E019A" w:rsidRDefault="007E019A" w:rsidP="007E019A">
      <w:pPr>
        <w:spacing w:after="0" w:line="240" w:lineRule="auto"/>
        <w:rPr>
          <w:rFonts w:ascii="Garamond" w:eastAsia="Times New Roman" w:hAnsi="Garamond" w:cs="Times New Roman"/>
          <w:b/>
          <w:snapToGrid w:val="0"/>
          <w:sz w:val="26"/>
          <w:szCs w:val="26"/>
          <w:lang w:eastAsia="hu-HU"/>
        </w:rPr>
      </w:pPr>
    </w:p>
    <w:p w:rsidR="007E019A" w:rsidRPr="007E019A" w:rsidRDefault="007E019A" w:rsidP="007E019A">
      <w:pPr>
        <w:spacing w:after="0" w:line="240" w:lineRule="auto"/>
        <w:ind w:left="720"/>
        <w:rPr>
          <w:rFonts w:ascii="Garamond" w:eastAsia="Times New Roman" w:hAnsi="Garamond" w:cs="Times New Roman"/>
          <w:snapToGrid w:val="0"/>
          <w:sz w:val="26"/>
          <w:szCs w:val="26"/>
          <w:lang w:eastAsia="hu-HU"/>
        </w:rPr>
      </w:pPr>
    </w:p>
    <w:p w:rsidR="007E019A" w:rsidRPr="007E019A" w:rsidRDefault="007E019A" w:rsidP="007E019A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Az Abaúj-Zempléni Szilárdhulladék Gazdálkodási Társulás átruházott hatáskörben:</w:t>
      </w:r>
    </w:p>
    <w:p w:rsidR="007E019A" w:rsidRPr="007E019A" w:rsidRDefault="007E019A" w:rsidP="007E019A">
      <w:pPr>
        <w:numPr>
          <w:ilvl w:val="1"/>
          <w:numId w:val="7"/>
        </w:numPr>
        <w:spacing w:after="0" w:line="240" w:lineRule="auto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ellátja az </w:t>
      </w:r>
      <w:proofErr w:type="spellStart"/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Mötv</w:t>
      </w:r>
      <w:proofErr w:type="spellEnd"/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>. 13.§ (1) bekezdés 19.pontjában meghatározott hulladékgazdálkodással kapcsolatos közfeladatot,</w:t>
      </w:r>
    </w:p>
    <w:p w:rsidR="007E019A" w:rsidRPr="007E019A" w:rsidRDefault="007E019A" w:rsidP="007E019A">
      <w:pPr>
        <w:numPr>
          <w:ilvl w:val="1"/>
          <w:numId w:val="7"/>
        </w:numPr>
        <w:spacing w:after="0" w:line="240" w:lineRule="auto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lastRenderedPageBreak/>
        <w:t xml:space="preserve"> közbeszerzési eljárás útján kiválasztja a hulladékkezelési közszolgáltatót,</w:t>
      </w:r>
    </w:p>
    <w:p w:rsidR="007E019A" w:rsidRPr="007E019A" w:rsidRDefault="007E019A" w:rsidP="007E019A">
      <w:pPr>
        <w:numPr>
          <w:ilvl w:val="1"/>
          <w:numId w:val="7"/>
        </w:numPr>
        <w:spacing w:after="0" w:line="240" w:lineRule="auto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  <w:r w:rsidRPr="007E019A"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  <w:t xml:space="preserve"> megköti a közszolgáltatási szerződést. </w:t>
      </w:r>
    </w:p>
    <w:p w:rsidR="007E019A" w:rsidRPr="007E019A" w:rsidRDefault="007E019A" w:rsidP="007E019A">
      <w:pPr>
        <w:spacing w:after="0" w:line="240" w:lineRule="auto"/>
        <w:ind w:left="720"/>
        <w:rPr>
          <w:rFonts w:ascii="Cambria" w:eastAsia="Times New Roman" w:hAnsi="Cambria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napToGrid w:val="0"/>
          <w:sz w:val="20"/>
          <w:szCs w:val="20"/>
          <w:lang w:eastAsia="hu-HU"/>
        </w:rPr>
      </w:pPr>
    </w:p>
    <w:p w:rsidR="007E019A" w:rsidRPr="007E019A" w:rsidRDefault="007E019A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331882" w:rsidRDefault="00331882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331882" w:rsidRDefault="00331882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331882" w:rsidRDefault="00331882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331882" w:rsidRDefault="00331882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lastRenderedPageBreak/>
        <w:t>3.melléklet az 4/2018.(III.29.) önkormányzati rendelethez</w:t>
      </w: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A Képviselő-testület ülésére meghívottak:</w:t>
      </w:r>
    </w:p>
    <w:p w:rsidR="007E019A" w:rsidRPr="007E019A" w:rsidRDefault="007E019A" w:rsidP="007E019A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I. Valamennyi ülésre tanácskozási joggal meghívottak:</w:t>
      </w:r>
    </w:p>
    <w:p w:rsidR="007E019A" w:rsidRPr="007E019A" w:rsidRDefault="007E019A" w:rsidP="007E019A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Egyéni választókerület országgyűlési képviselője</w:t>
      </w:r>
    </w:p>
    <w:p w:rsidR="007E019A" w:rsidRPr="007E019A" w:rsidRDefault="007E019A" w:rsidP="007E019A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Járási Hivatal vezetője</w:t>
      </w:r>
    </w:p>
    <w:p w:rsidR="007E019A" w:rsidRPr="007E019A" w:rsidRDefault="007E019A" w:rsidP="007E019A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A nemzetiségi önkormányzatok elnökei</w:t>
      </w:r>
    </w:p>
    <w:p w:rsidR="007E019A" w:rsidRPr="007E019A" w:rsidRDefault="007E019A" w:rsidP="007E019A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A Városvédő és Szépítő Egyesület elnöke</w:t>
      </w:r>
    </w:p>
    <w:p w:rsidR="007E019A" w:rsidRPr="007E019A" w:rsidRDefault="007E019A" w:rsidP="007E019A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II. A tárgyalt napirendnél való érintettség esetén tanácskozási joggal meghívott</w:t>
      </w:r>
    </w:p>
    <w:p w:rsidR="007E019A" w:rsidRPr="007E019A" w:rsidRDefault="007E019A" w:rsidP="007E019A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A Polgármesteri Hivatal osztályvezetői</w:t>
      </w:r>
    </w:p>
    <w:p w:rsidR="007E019A" w:rsidRPr="007E019A" w:rsidRDefault="007E019A" w:rsidP="007E019A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A Polgármesteri Hivatal műszaki tanácsadója</w:t>
      </w:r>
    </w:p>
    <w:p w:rsidR="007E019A" w:rsidRPr="007E019A" w:rsidRDefault="007E019A" w:rsidP="007E019A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III. Részvételi joggal meghívottak:</w:t>
      </w:r>
    </w:p>
    <w:p w:rsidR="007E019A" w:rsidRPr="007E019A" w:rsidRDefault="007E019A" w:rsidP="007E019A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Zemplén Televízió</w:t>
      </w: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360" w:line="240" w:lineRule="auto"/>
        <w:ind w:left="425" w:hanging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4.melléklet az 4/2018.(III.29.) önkormányzati rendelethez</w:t>
      </w:r>
    </w:p>
    <w:p w:rsidR="007E019A" w:rsidRPr="007E019A" w:rsidRDefault="007E019A" w:rsidP="007E019A">
      <w:pPr>
        <w:spacing w:after="0" w:line="240" w:lineRule="auto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NYILVÁNTARTÁS</w:t>
      </w: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Sátoraljaújhely Város Önkormányzat Képviselő-testületének</w:t>
      </w: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tagjai és bizottságok nem képviselő tagjai által leadott vagyonnyilatkozatokról</w:t>
      </w:r>
    </w:p>
    <w:p w:rsidR="007E019A" w:rsidRPr="007E019A" w:rsidRDefault="007E019A" w:rsidP="007E019A">
      <w:pPr>
        <w:spacing w:after="120" w:line="240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……….. év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7"/>
        <w:gridCol w:w="2512"/>
        <w:gridCol w:w="2639"/>
        <w:gridCol w:w="1709"/>
        <w:gridCol w:w="1710"/>
      </w:tblGrid>
      <w:tr w:rsidR="007E019A" w:rsidRPr="007E019A" w:rsidTr="00B04174">
        <w:trPr>
          <w:tblHeader/>
        </w:trPr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jc w:val="center"/>
              <w:rPr>
                <w:rFonts w:ascii="Garamond" w:eastAsia="Times New Roman" w:hAnsi="Garamond" w:cs="Times New Roman"/>
                <w:b/>
                <w:snapToGrid w:val="0"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b/>
                <w:snapToGrid w:val="0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jc w:val="center"/>
              <w:rPr>
                <w:rFonts w:ascii="Garamond" w:eastAsia="Times New Roman" w:hAnsi="Garamond" w:cs="Times New Roman"/>
                <w:b/>
                <w:snapToGrid w:val="0"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b/>
                <w:snapToGrid w:val="0"/>
                <w:sz w:val="24"/>
                <w:szCs w:val="24"/>
                <w:lang w:eastAsia="hu-HU"/>
              </w:rPr>
              <w:t>Képviselő neve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jc w:val="center"/>
              <w:rPr>
                <w:rFonts w:ascii="Garamond" w:eastAsia="Times New Roman" w:hAnsi="Garamond" w:cs="Times New Roman"/>
                <w:b/>
                <w:snapToGrid w:val="0"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b/>
                <w:snapToGrid w:val="0"/>
                <w:sz w:val="24"/>
                <w:szCs w:val="24"/>
                <w:lang w:eastAsia="hu-HU"/>
              </w:rPr>
              <w:t>Hozzátartozó neve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jc w:val="center"/>
              <w:rPr>
                <w:rFonts w:ascii="Garamond" w:eastAsia="Times New Roman" w:hAnsi="Garamond" w:cs="Times New Roman"/>
                <w:b/>
                <w:snapToGrid w:val="0"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b/>
                <w:snapToGrid w:val="0"/>
                <w:sz w:val="24"/>
                <w:szCs w:val="24"/>
                <w:lang w:eastAsia="hu-HU"/>
              </w:rPr>
              <w:t>Nyilvántartási szám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jc w:val="center"/>
              <w:rPr>
                <w:rFonts w:ascii="Garamond" w:eastAsia="Times New Roman" w:hAnsi="Garamond" w:cs="Times New Roman"/>
                <w:b/>
                <w:snapToGrid w:val="0"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b/>
                <w:snapToGrid w:val="0"/>
                <w:sz w:val="24"/>
                <w:szCs w:val="24"/>
                <w:lang w:eastAsia="hu-HU"/>
              </w:rPr>
              <w:t>Átvétel időpontja</w:t>
            </w:r>
          </w:p>
        </w:tc>
      </w:tr>
      <w:tr w:rsidR="007E019A" w:rsidRPr="007E019A" w:rsidTr="00B04174"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jc w:val="center"/>
              <w:rPr>
                <w:rFonts w:ascii="Garamond" w:eastAsia="Times New Roman" w:hAnsi="Garamond" w:cs="Times New Roman"/>
                <w:snapToGrid w:val="0"/>
                <w:sz w:val="24"/>
                <w:szCs w:val="24"/>
                <w:lang w:eastAsia="hu-HU"/>
              </w:rPr>
            </w:pP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rPr>
                <w:rFonts w:ascii="Garamond" w:eastAsia="Times New Roman" w:hAnsi="Garamond" w:cs="Times New Roman"/>
                <w:b/>
                <w:snapToGrid w:val="0"/>
                <w:sz w:val="24"/>
                <w:szCs w:val="24"/>
                <w:lang w:eastAsia="hu-HU"/>
              </w:rPr>
            </w:pP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rPr>
                <w:rFonts w:ascii="Garamond" w:eastAsia="Times New Roman" w:hAnsi="Garamond" w:cs="Times New Roman"/>
                <w:snapToGrid w:val="0"/>
                <w:sz w:val="24"/>
                <w:szCs w:val="24"/>
                <w:lang w:eastAsia="hu-HU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jc w:val="center"/>
              <w:rPr>
                <w:rFonts w:ascii="Garamond" w:eastAsia="Times New Roman" w:hAnsi="Garamond" w:cs="Times New Roman"/>
                <w:snapToGrid w:val="0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jc w:val="center"/>
              <w:rPr>
                <w:rFonts w:ascii="Garamond" w:eastAsia="Times New Roman" w:hAnsi="Garamond" w:cs="Times New Roman"/>
                <w:snapToGrid w:val="0"/>
                <w:sz w:val="24"/>
                <w:szCs w:val="24"/>
                <w:lang w:eastAsia="hu-HU"/>
              </w:rPr>
            </w:pPr>
          </w:p>
        </w:tc>
      </w:tr>
      <w:tr w:rsidR="007E019A" w:rsidRPr="007E019A" w:rsidTr="00B04174"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jc w:val="center"/>
              <w:rPr>
                <w:rFonts w:ascii="Garamond" w:eastAsia="Times New Roman" w:hAnsi="Garamond" w:cs="Times New Roman"/>
                <w:snapToGrid w:val="0"/>
                <w:sz w:val="24"/>
                <w:szCs w:val="24"/>
                <w:lang w:eastAsia="hu-HU"/>
              </w:rPr>
            </w:pP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rPr>
                <w:rFonts w:ascii="Garamond" w:eastAsia="Times New Roman" w:hAnsi="Garamond" w:cs="Times New Roman"/>
                <w:b/>
                <w:snapToGrid w:val="0"/>
                <w:sz w:val="24"/>
                <w:szCs w:val="24"/>
                <w:lang w:eastAsia="hu-HU"/>
              </w:rPr>
            </w:pP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rPr>
                <w:rFonts w:ascii="Garamond" w:eastAsia="Times New Roman" w:hAnsi="Garamond" w:cs="Times New Roman"/>
                <w:snapToGrid w:val="0"/>
                <w:sz w:val="24"/>
                <w:szCs w:val="24"/>
                <w:lang w:eastAsia="hu-HU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jc w:val="center"/>
              <w:rPr>
                <w:rFonts w:ascii="Garamond" w:eastAsia="Times New Roman" w:hAnsi="Garamond" w:cs="Times New Roman"/>
                <w:snapToGrid w:val="0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jc w:val="center"/>
              <w:rPr>
                <w:rFonts w:ascii="Garamond" w:eastAsia="Times New Roman" w:hAnsi="Garamond" w:cs="Times New Roman"/>
                <w:snapToGrid w:val="0"/>
                <w:sz w:val="24"/>
                <w:szCs w:val="24"/>
                <w:lang w:eastAsia="hu-HU"/>
              </w:rPr>
            </w:pPr>
          </w:p>
        </w:tc>
      </w:tr>
      <w:tr w:rsidR="007E019A" w:rsidRPr="007E019A" w:rsidTr="00B04174"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jc w:val="center"/>
              <w:rPr>
                <w:rFonts w:ascii="Garamond" w:eastAsia="Times New Roman" w:hAnsi="Garamond" w:cs="Times New Roman"/>
                <w:snapToGrid w:val="0"/>
                <w:sz w:val="24"/>
                <w:szCs w:val="24"/>
                <w:lang w:eastAsia="hu-HU"/>
              </w:rPr>
            </w:pP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rPr>
                <w:rFonts w:ascii="Garamond" w:eastAsia="Times New Roman" w:hAnsi="Garamond" w:cs="Times New Roman"/>
                <w:b/>
                <w:snapToGrid w:val="0"/>
                <w:sz w:val="24"/>
                <w:szCs w:val="24"/>
                <w:lang w:eastAsia="hu-HU"/>
              </w:rPr>
            </w:pP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rPr>
                <w:rFonts w:ascii="Garamond" w:eastAsia="Times New Roman" w:hAnsi="Garamond" w:cs="Times New Roman"/>
                <w:snapToGrid w:val="0"/>
                <w:sz w:val="24"/>
                <w:szCs w:val="24"/>
                <w:lang w:eastAsia="hu-HU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jc w:val="center"/>
              <w:rPr>
                <w:rFonts w:ascii="Garamond" w:eastAsia="Times New Roman" w:hAnsi="Garamond" w:cs="Times New Roman"/>
                <w:snapToGrid w:val="0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19A" w:rsidRPr="007E019A" w:rsidRDefault="007E019A" w:rsidP="007E019A">
            <w:pPr>
              <w:spacing w:after="120" w:line="240" w:lineRule="auto"/>
              <w:jc w:val="center"/>
              <w:rPr>
                <w:rFonts w:ascii="Garamond" w:eastAsia="Times New Roman" w:hAnsi="Garamond" w:cs="Times New Roman"/>
                <w:snapToGrid w:val="0"/>
                <w:sz w:val="24"/>
                <w:szCs w:val="24"/>
                <w:lang w:eastAsia="hu-HU"/>
              </w:rPr>
            </w:pPr>
          </w:p>
        </w:tc>
      </w:tr>
    </w:tbl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NYILVÁNTARTÁS</w:t>
      </w: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Sátoraljaújhely Város Önkormányzat Képviselő-testületének</w:t>
      </w: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tagjai vagyonnyilatkozat ellenőrzési eljárásáról</w:t>
      </w: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numPr>
          <w:ilvl w:val="1"/>
          <w:numId w:val="2"/>
        </w:numPr>
        <w:spacing w:after="0" w:line="240" w:lineRule="auto"/>
        <w:ind w:left="357" w:hanging="35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Vagyonnyilatkozattal kapcsolatos eljárást kezdeményező</w:t>
      </w:r>
    </w:p>
    <w:p w:rsidR="007E019A" w:rsidRPr="007E019A" w:rsidRDefault="007E019A" w:rsidP="007E019A">
      <w:pPr>
        <w:tabs>
          <w:tab w:val="right" w:leader="dot" w:pos="9781"/>
        </w:tabs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Neve: </w:t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:rsidR="007E019A" w:rsidRPr="007E019A" w:rsidRDefault="007E019A" w:rsidP="007E019A">
      <w:pPr>
        <w:tabs>
          <w:tab w:val="right" w:leader="dot" w:pos="9781"/>
        </w:tabs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Címe: </w:t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:rsidR="007E019A" w:rsidRPr="007E019A" w:rsidRDefault="007E019A" w:rsidP="007E019A">
      <w:pPr>
        <w:numPr>
          <w:ilvl w:val="1"/>
          <w:numId w:val="2"/>
        </w:numPr>
        <w:tabs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Az eljárás kezdeményezésének időpontja:</w:t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:rsidR="007E019A" w:rsidRPr="007E019A" w:rsidRDefault="007E019A" w:rsidP="007E019A">
      <w:pPr>
        <w:numPr>
          <w:ilvl w:val="1"/>
          <w:numId w:val="2"/>
        </w:numPr>
        <w:tabs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Az eljárásban érintett képviselő:</w:t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:rsidR="007E019A" w:rsidRPr="007E019A" w:rsidRDefault="007E019A" w:rsidP="007E019A">
      <w:pPr>
        <w:numPr>
          <w:ilvl w:val="1"/>
          <w:numId w:val="2"/>
        </w:numPr>
        <w:tabs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A vagyonnyilatkozat kifogásolt része:</w:t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:rsidR="007E019A" w:rsidRPr="007E019A" w:rsidRDefault="007E019A" w:rsidP="007E019A">
      <w:pPr>
        <w:numPr>
          <w:ilvl w:val="1"/>
          <w:numId w:val="2"/>
        </w:numPr>
        <w:tabs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A 4.) pont megjelölésének hiányában a hiánypótlás időpontja:</w:t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:rsidR="007E019A" w:rsidRPr="007E019A" w:rsidRDefault="007E019A" w:rsidP="007E019A">
      <w:pPr>
        <w:numPr>
          <w:ilvl w:val="1"/>
          <w:numId w:val="2"/>
        </w:numPr>
        <w:tabs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Az érintett tájékoztatásának időpontja a bejelentésről:</w:t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:rsidR="007E019A" w:rsidRPr="007E019A" w:rsidRDefault="007E019A" w:rsidP="007E019A">
      <w:pPr>
        <w:numPr>
          <w:ilvl w:val="1"/>
          <w:numId w:val="2"/>
        </w:numPr>
        <w:tabs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Azonosító adatok átadásának időpontja az Ügyrendi Bizottság részére: </w:t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:rsidR="007E019A" w:rsidRPr="007E019A" w:rsidRDefault="007E019A" w:rsidP="007E019A">
      <w:pPr>
        <w:numPr>
          <w:ilvl w:val="1"/>
          <w:numId w:val="2"/>
        </w:numPr>
        <w:tabs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Az Ügyrendi Bizottság ülésének időpontja:</w:t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:rsidR="007E019A" w:rsidRPr="007E019A" w:rsidRDefault="007E019A" w:rsidP="007E019A">
      <w:pPr>
        <w:numPr>
          <w:ilvl w:val="1"/>
          <w:numId w:val="2"/>
        </w:numPr>
        <w:tabs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Az eljárás eredménye:</w:t>
      </w:r>
    </w:p>
    <w:p w:rsidR="007E019A" w:rsidRPr="007E019A" w:rsidRDefault="007E019A" w:rsidP="007E019A">
      <w:pPr>
        <w:numPr>
          <w:ilvl w:val="2"/>
          <w:numId w:val="2"/>
        </w:numPr>
        <w:tabs>
          <w:tab w:val="left" w:pos="641"/>
          <w:tab w:val="right" w:leader="dot" w:pos="9781"/>
        </w:tabs>
        <w:spacing w:after="0" w:line="240" w:lineRule="auto"/>
        <w:ind w:left="641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bejelentés elutasítva, mert</w:t>
      </w:r>
    </w:p>
    <w:p w:rsidR="007E019A" w:rsidRPr="007E019A" w:rsidRDefault="007E019A" w:rsidP="007E019A">
      <w:pPr>
        <w:numPr>
          <w:ilvl w:val="0"/>
          <w:numId w:val="1"/>
        </w:numPr>
        <w:tabs>
          <w:tab w:val="clear" w:pos="360"/>
          <w:tab w:val="left" w:pos="993"/>
        </w:tabs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nyilvánvalóan alaptalan,</w:t>
      </w:r>
    </w:p>
    <w:p w:rsidR="007E019A" w:rsidRPr="007E019A" w:rsidRDefault="007E019A" w:rsidP="007E019A">
      <w:pPr>
        <w:numPr>
          <w:ilvl w:val="0"/>
          <w:numId w:val="1"/>
        </w:numPr>
        <w:tabs>
          <w:tab w:val="clear" w:pos="360"/>
          <w:tab w:val="left" w:pos="993"/>
        </w:tabs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hiánypótlást nem vagy nem megfelelően teljesítette,</w:t>
      </w:r>
    </w:p>
    <w:p w:rsidR="007E019A" w:rsidRPr="007E019A" w:rsidRDefault="007E019A" w:rsidP="007E019A">
      <w:pPr>
        <w:numPr>
          <w:ilvl w:val="0"/>
          <w:numId w:val="1"/>
        </w:numPr>
        <w:tabs>
          <w:tab w:val="clear" w:pos="360"/>
          <w:tab w:val="left" w:pos="993"/>
        </w:tabs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az ismételt kezdeményezés új tényállást nem tartalmaz.</w:t>
      </w:r>
    </w:p>
    <w:p w:rsidR="007E019A" w:rsidRPr="007E019A" w:rsidRDefault="007E019A" w:rsidP="007E019A">
      <w:pPr>
        <w:numPr>
          <w:ilvl w:val="2"/>
          <w:numId w:val="2"/>
        </w:numPr>
        <w:tabs>
          <w:tab w:val="left" w:pos="641"/>
          <w:tab w:val="right" w:leader="dot" w:pos="9781"/>
        </w:tabs>
        <w:spacing w:after="0" w:line="240" w:lineRule="auto"/>
        <w:ind w:left="641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a bejelentés alapján az ügyrendi bizottság megállapításai:</w:t>
      </w:r>
    </w:p>
    <w:p w:rsidR="007E019A" w:rsidRPr="007E019A" w:rsidRDefault="007E019A" w:rsidP="007E019A">
      <w:pPr>
        <w:tabs>
          <w:tab w:val="right" w:leader="dot" w:pos="9781"/>
        </w:tabs>
        <w:spacing w:after="0" w:line="240" w:lineRule="auto"/>
        <w:ind w:left="35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:rsidR="007E019A" w:rsidRPr="007E019A" w:rsidRDefault="007E019A" w:rsidP="007E019A">
      <w:pPr>
        <w:tabs>
          <w:tab w:val="left" w:pos="425"/>
          <w:tab w:val="right" w:leader="dot" w:pos="9781"/>
        </w:tabs>
        <w:spacing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10.) Azonosító adatok törlésének időpontja:</w:t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:rsidR="007E019A" w:rsidRPr="007E019A" w:rsidRDefault="007E019A" w:rsidP="007E019A">
      <w:pPr>
        <w:tabs>
          <w:tab w:val="right" w:leader="dot" w:pos="9781"/>
        </w:tabs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11.) A Képviselő-testület tájékoztatásának időpontja a kezdeményezésről: </w:t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:rsidR="007E019A" w:rsidRPr="007E019A" w:rsidRDefault="007E019A" w:rsidP="007E019A">
      <w:pPr>
        <w:tabs>
          <w:tab w:val="right" w:leader="dot" w:pos="9781"/>
        </w:tabs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Nyilvántartás </w:t>
      </w: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Sátoraljaújhely Város Önkormányzat Képviselő-testületének</w:t>
      </w: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proofErr w:type="gramStart"/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tagjai</w:t>
      </w:r>
      <w:r w:rsidRPr="007E019A">
        <w:rPr>
          <w:rFonts w:ascii="Garamond" w:eastAsia="Times New Roman" w:hAnsi="Garamond" w:cs="Times New Roman"/>
          <w:b/>
          <w:sz w:val="20"/>
          <w:szCs w:val="24"/>
          <w:lang w:eastAsia="hu-HU"/>
        </w:rPr>
        <w:t xml:space="preserve"> </w:t>
      </w: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vagyonnyilatkozataiba</w:t>
      </w:r>
      <w:proofErr w:type="gramEnd"/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történő betekintésről</w:t>
      </w: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8"/>
        <w:gridCol w:w="2528"/>
        <w:gridCol w:w="2528"/>
        <w:gridCol w:w="2528"/>
      </w:tblGrid>
      <w:tr w:rsidR="007E019A" w:rsidRPr="007E019A" w:rsidTr="00B04174"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Betekintő személy neve</w:t>
            </w:r>
          </w:p>
        </w:tc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Aláírása</w:t>
            </w:r>
          </w:p>
        </w:tc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Betekintés ideje</w:t>
            </w:r>
          </w:p>
        </w:tc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megjegyzés</w:t>
            </w:r>
          </w:p>
        </w:tc>
      </w:tr>
      <w:tr w:rsidR="007E019A" w:rsidRPr="007E019A" w:rsidTr="00B04174"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7E019A" w:rsidRPr="007E019A" w:rsidTr="00B04174"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7E019A" w:rsidRPr="007E019A" w:rsidTr="00B04174"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7E019A" w:rsidRPr="007E019A" w:rsidTr="00B04174"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28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</w:tbl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IGAZOLÁS</w:t>
      </w: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Sátoraljaújhely Város Önkormányzat Képviselő-testülete tagja/bizottság nem képviselő tagja</w:t>
      </w: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vagyonnyilatkozat átvételéről</w:t>
      </w: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Alulírott </w:t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  <w:t xml:space="preserve">               </w:t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vagyonnyilatkozat tételre kötelezett önkormányzati képviselő/bizottság nem képviselő tagja az alábbi vagyonnyilatkozatot(</w:t>
      </w:r>
      <w:proofErr w:type="spellStart"/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kat</w:t>
      </w:r>
      <w:proofErr w:type="spellEnd"/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) adom át:</w:t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önkormányzati képviselő /bizottság nem képviselő tagja</w:t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házastárs/élettárs</w:t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gyermek</w:t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gyermek</w:t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gyermek</w:t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Sátoraljaújhely, </w:t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1985"/>
        <w:gridCol w:w="4050"/>
      </w:tblGrid>
      <w:tr w:rsidR="007E019A" w:rsidRPr="007E019A" w:rsidTr="00B04174">
        <w:tc>
          <w:tcPr>
            <w:tcW w:w="4077" w:type="dxa"/>
            <w:tcBorders>
              <w:top w:val="single" w:sz="4" w:space="0" w:color="auto"/>
            </w:tcBorders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Önkormányzati képviselő/</w:t>
            </w:r>
          </w:p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bizottság nem képviselő tagja</w:t>
            </w:r>
          </w:p>
        </w:tc>
        <w:tc>
          <w:tcPr>
            <w:tcW w:w="1985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Átvevő bizottság képviselője</w:t>
            </w:r>
          </w:p>
        </w:tc>
      </w:tr>
    </w:tbl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bookmarkStart w:id="0" w:name="_GoBack"/>
      <w:bookmarkEnd w:id="0"/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IGAZOLÁS</w:t>
      </w: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Sátoraljaújhely Város Önkormányzat Képviselő-testülete tagja/bizottság nem képviselő tagja</w:t>
      </w: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Vagyonnyilatkozat visszaadásáról</w:t>
      </w: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Alulírott </w:t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  <w:t xml:space="preserve">               </w:t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vagyonnyilatkozat tételre kötelezett önkormányzati képviselő/bizottság nem képviselő tagja az alábbi hozzátartozói vagyonnyilatkozatot(</w:t>
      </w:r>
      <w:proofErr w:type="spellStart"/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kat</w:t>
      </w:r>
      <w:proofErr w:type="spellEnd"/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) veszem át:</w:t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házastárs/élettárs</w:t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gyermek</w:t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gyermek</w:t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gyermek</w:t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Sátoraljaújhely, </w:t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1985"/>
        <w:gridCol w:w="4050"/>
      </w:tblGrid>
      <w:tr w:rsidR="007E019A" w:rsidRPr="007E019A" w:rsidTr="00B04174">
        <w:tc>
          <w:tcPr>
            <w:tcW w:w="4077" w:type="dxa"/>
            <w:tcBorders>
              <w:top w:val="single" w:sz="4" w:space="0" w:color="auto"/>
            </w:tcBorders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Önkormányzati képviselő/</w:t>
            </w:r>
          </w:p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bizottság nem képviselő tagja</w:t>
            </w:r>
          </w:p>
        </w:tc>
        <w:tc>
          <w:tcPr>
            <w:tcW w:w="1985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Átvevő bizottság képviselője</w:t>
            </w:r>
          </w:p>
        </w:tc>
      </w:tr>
    </w:tbl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IGAZOLÁS</w:t>
      </w: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Sátoraljaújhely Város Önkormányzat Képviselő-testülete tagja/bizottság nem képviselő tagja</w:t>
      </w: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b/>
          <w:sz w:val="24"/>
          <w:szCs w:val="24"/>
          <w:lang w:eastAsia="hu-HU"/>
        </w:rPr>
        <w:t>Vagyonnyilatkozat visszaadásáról</w:t>
      </w:r>
    </w:p>
    <w:p w:rsidR="007E019A" w:rsidRPr="007E019A" w:rsidRDefault="007E019A" w:rsidP="007E019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Alulírott </w:t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  <w:t xml:space="preserve">         </w:t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önkormányzati képviselőként/bizottság nem képviselő tagjaként vagyonnyilatkozat tételre kötelezett, képviselői mandátumom/bizottsági tagságom megszűnése miatt az alábbi vagyonnyilatkozatot(</w:t>
      </w:r>
      <w:proofErr w:type="spellStart"/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kat</w:t>
      </w:r>
      <w:proofErr w:type="spellEnd"/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>) veszem át:</w:t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önkormányzati képviselő/ bizottság nem képviselő tagja</w:t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házastárs/élettárs</w:t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gyermek</w:t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gyermek</w:t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gyermek</w:t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E01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Sátoraljaújhely, </w:t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  <w:r w:rsidRPr="007E019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ab/>
      </w: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E019A" w:rsidRPr="007E019A" w:rsidRDefault="007E019A" w:rsidP="007E019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1985"/>
        <w:gridCol w:w="4050"/>
      </w:tblGrid>
      <w:tr w:rsidR="007E019A" w:rsidRPr="007E019A" w:rsidTr="00B04174">
        <w:tc>
          <w:tcPr>
            <w:tcW w:w="4077" w:type="dxa"/>
            <w:tcBorders>
              <w:top w:val="single" w:sz="4" w:space="0" w:color="auto"/>
            </w:tcBorders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Önkormányzati képviselő/</w:t>
            </w:r>
          </w:p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bizottság nem képviselő tagja</w:t>
            </w:r>
          </w:p>
        </w:tc>
        <w:tc>
          <w:tcPr>
            <w:tcW w:w="1985" w:type="dxa"/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7E019A" w:rsidRPr="007E019A" w:rsidRDefault="007E019A" w:rsidP="007E01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E019A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Átvevő bizottság képviselője</w:t>
            </w:r>
          </w:p>
        </w:tc>
      </w:tr>
    </w:tbl>
    <w:p w:rsidR="0039784D" w:rsidRDefault="0039784D"/>
    <w:sectPr w:rsidR="00397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338" w:rsidRDefault="002A5338">
      <w:pPr>
        <w:spacing w:after="0" w:line="240" w:lineRule="auto"/>
      </w:pPr>
      <w:r>
        <w:separator/>
      </w:r>
    </w:p>
  </w:endnote>
  <w:endnote w:type="continuationSeparator" w:id="0">
    <w:p w:rsidR="002A5338" w:rsidRDefault="002A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338" w:rsidRDefault="002A5338">
      <w:pPr>
        <w:spacing w:after="0" w:line="240" w:lineRule="auto"/>
      </w:pPr>
      <w:r>
        <w:separator/>
      </w:r>
    </w:p>
  </w:footnote>
  <w:footnote w:type="continuationSeparator" w:id="0">
    <w:p w:rsidR="002A5338" w:rsidRDefault="002A5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CF2" w:rsidRDefault="007E019A" w:rsidP="00C355F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44CF2" w:rsidRDefault="002A533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CF2" w:rsidRDefault="007E019A" w:rsidP="00C355F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18</w:t>
    </w:r>
    <w:r>
      <w:rPr>
        <w:rStyle w:val="Oldalszm"/>
      </w:rPr>
      <w:fldChar w:fldCharType="end"/>
    </w:r>
  </w:p>
  <w:p w:rsidR="00D44CF2" w:rsidRDefault="002A533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E0DDD"/>
    <w:multiLevelType w:val="multilevel"/>
    <w:tmpl w:val="7C5A0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5CF28A8"/>
    <w:multiLevelType w:val="hybridMultilevel"/>
    <w:tmpl w:val="DAC0AAF8"/>
    <w:lvl w:ilvl="0" w:tplc="E31C3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7643"/>
    <w:multiLevelType w:val="hybridMultilevel"/>
    <w:tmpl w:val="61F44EFA"/>
    <w:lvl w:ilvl="0" w:tplc="E31C3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84CE3"/>
    <w:multiLevelType w:val="hybridMultilevel"/>
    <w:tmpl w:val="F0966262"/>
    <w:lvl w:ilvl="0" w:tplc="C7B05C02">
      <w:start w:val="1"/>
      <w:numFmt w:val="decimal"/>
      <w:lvlText w:val="%1."/>
      <w:lvlJc w:val="left"/>
      <w:pPr>
        <w:tabs>
          <w:tab w:val="num" w:pos="703"/>
        </w:tabs>
        <w:ind w:left="703" w:hanging="360"/>
      </w:pPr>
      <w:rPr>
        <w:i w:val="0"/>
      </w:rPr>
    </w:lvl>
    <w:lvl w:ilvl="1" w:tplc="1EEEFF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C45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84B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BED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29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863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834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B0E8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870E04"/>
    <w:multiLevelType w:val="hybridMultilevel"/>
    <w:tmpl w:val="A4B8A188"/>
    <w:lvl w:ilvl="0" w:tplc="E31C3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1787C"/>
    <w:multiLevelType w:val="multilevel"/>
    <w:tmpl w:val="F64A335C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C11EB"/>
    <w:multiLevelType w:val="singleLevel"/>
    <w:tmpl w:val="79C4B3E2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9A"/>
    <w:rsid w:val="002A5338"/>
    <w:rsid w:val="00331882"/>
    <w:rsid w:val="0039784D"/>
    <w:rsid w:val="007E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E56A46"/>
  <w15:chartTrackingRefBased/>
  <w15:docId w15:val="{D9C39DA3-D565-4631-928C-791BDFBC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E01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7E019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E0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2671</Words>
  <Characters>18437</Characters>
  <Application>Microsoft Office Word</Application>
  <DocSecurity>0</DocSecurity>
  <Lines>153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2018-04-04T10:28:00Z</dcterms:created>
  <dcterms:modified xsi:type="dcterms:W3CDTF">2018-04-04T10:32:00Z</dcterms:modified>
</cp:coreProperties>
</file>