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981B2" w14:textId="0FC08E37" w:rsidR="00B41647" w:rsidRPr="00B41647" w:rsidRDefault="00B41647" w:rsidP="00B41647">
      <w:pPr>
        <w:pStyle w:val="Listaszerbekezds"/>
        <w:numPr>
          <w:ilvl w:val="0"/>
          <w:numId w:val="2"/>
        </w:numPr>
        <w:spacing w:after="0" w:line="276" w:lineRule="auto"/>
        <w:jc w:val="right"/>
        <w:rPr>
          <w:rFonts w:ascii="Arial Narrow" w:eastAsia="Times New Roman" w:hAnsi="Arial Narrow" w:cs="Times New Roman"/>
          <w:i/>
          <w:smallCaps/>
          <w:sz w:val="22"/>
          <w:lang w:eastAsia="hu-HU"/>
        </w:rPr>
      </w:pPr>
      <w:bookmarkStart w:id="0" w:name="_GoBack"/>
      <w:bookmarkEnd w:id="0"/>
      <w:r w:rsidRPr="00B41647">
        <w:rPr>
          <w:rFonts w:ascii="Arial Narrow" w:eastAsia="Times New Roman" w:hAnsi="Arial Narrow" w:cs="Times New Roman"/>
          <w:i/>
          <w:smallCaps/>
          <w:sz w:val="22"/>
          <w:lang w:eastAsia="hu-HU"/>
        </w:rPr>
        <w:t>melléklet az 5/2018. (X.04.) önkormányzati rendelethez</w:t>
      </w:r>
    </w:p>
    <w:p w14:paraId="0ED148D5" w14:textId="77777777" w:rsidR="00B41647" w:rsidRPr="00727388" w:rsidRDefault="00B41647" w:rsidP="00B4164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0DE3CB94" w14:textId="77777777" w:rsidR="00B41647" w:rsidRPr="00727388" w:rsidRDefault="00B41647" w:rsidP="00B41647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2"/>
          <w:lang w:eastAsia="hu-HU"/>
        </w:rPr>
      </w:pPr>
      <w:r w:rsidRPr="00727388">
        <w:rPr>
          <w:rFonts w:ascii="Arial Narrow" w:eastAsia="Times New Roman" w:hAnsi="Arial Narrow" w:cs="Times New Roman"/>
          <w:b/>
          <w:sz w:val="22"/>
          <w:lang w:eastAsia="hu-HU"/>
        </w:rPr>
        <w:t>Településképi szempontból meghatározó területeken kerülendő, inváziós fajok jegyzéke</w:t>
      </w:r>
    </w:p>
    <w:p w14:paraId="7705A914" w14:textId="77777777" w:rsidR="00B41647" w:rsidRPr="00727388" w:rsidRDefault="00B41647" w:rsidP="00B4164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F346CF0" w14:textId="77777777" w:rsidR="00B41647" w:rsidRPr="00727388" w:rsidRDefault="00B41647" w:rsidP="00B4164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tbl>
      <w:tblPr>
        <w:tblW w:w="7761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3"/>
        <w:gridCol w:w="4718"/>
      </w:tblGrid>
      <w:tr w:rsidR="00B41647" w:rsidRPr="00727388" w14:paraId="144858DC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43F2A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Magyar név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EC0C4BE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b/>
                <w:bCs/>
                <w:sz w:val="22"/>
                <w:lang w:eastAsia="hu-HU"/>
              </w:rPr>
              <w:t>Tudományos név</w:t>
            </w:r>
          </w:p>
        </w:tc>
      </w:tr>
      <w:tr w:rsidR="00B41647" w:rsidRPr="00727388" w14:paraId="0013296C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685AD5D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Borfa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, tengerparti seprűcserje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158A087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Baccharishalimifolia</w:t>
            </w:r>
            <w:proofErr w:type="spellEnd"/>
          </w:p>
        </w:tc>
      </w:tr>
      <w:tr w:rsidR="00B41647" w:rsidRPr="00727388" w14:paraId="0D87F2C8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A28C78F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Kaliforniai tündérhínár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97CA30E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Cabombacaroliniana</w:t>
            </w:r>
            <w:proofErr w:type="spellEnd"/>
          </w:p>
        </w:tc>
      </w:tr>
      <w:tr w:rsidR="00B41647" w:rsidRPr="00727388" w14:paraId="29879FFF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7999F4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Vízijácint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14016D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Eichhorniacrassipes</w:t>
            </w:r>
            <w:proofErr w:type="spellEnd"/>
          </w:p>
        </w:tc>
      </w:tr>
      <w:tr w:rsidR="00B41647" w:rsidRPr="00727388" w14:paraId="68A83EB5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11B49B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Perzsa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94A7646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Heracleumpersicum</w:t>
            </w:r>
            <w:proofErr w:type="spellEnd"/>
          </w:p>
        </w:tc>
      </w:tr>
      <w:tr w:rsidR="00B41647" w:rsidRPr="00727388" w14:paraId="0E82A780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7A9972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Sosnowsky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-medvetalp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F5D6F47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Heracleumsosnowskyi</w:t>
            </w:r>
            <w:proofErr w:type="spellEnd"/>
          </w:p>
        </w:tc>
      </w:tr>
      <w:tr w:rsidR="00B41647" w:rsidRPr="00727388" w14:paraId="4C97DF72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5608F86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Hévízi gázló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46EE019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Hydrocotyleranunculoides</w:t>
            </w:r>
            <w:proofErr w:type="spellEnd"/>
          </w:p>
        </w:tc>
      </w:tr>
      <w:tr w:rsidR="00B41647" w:rsidRPr="00727388" w14:paraId="68C6F357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963F360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Fodros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A7C9759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Lagarosiphon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major</w:t>
            </w:r>
          </w:p>
        </w:tc>
      </w:tr>
      <w:tr w:rsidR="00B41647" w:rsidRPr="00727388" w14:paraId="0F4332FC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7251C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Nagyvirágú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B84531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Ludwigiagrandiflora</w:t>
            </w:r>
            <w:proofErr w:type="spellEnd"/>
          </w:p>
        </w:tc>
      </w:tr>
      <w:tr w:rsidR="00B41647" w:rsidRPr="00727388" w14:paraId="1A6C2E6D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0079A4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Sárgavirágú tóalma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EB6807D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Ludwigiapeploides</w:t>
            </w:r>
            <w:proofErr w:type="spellEnd"/>
          </w:p>
        </w:tc>
      </w:tr>
      <w:tr w:rsidR="00B41647" w:rsidRPr="00727388" w14:paraId="22CCE9FB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3DDE7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Sárga lápbuzogány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78C7763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Lysichitonamericanus</w:t>
            </w:r>
            <w:proofErr w:type="spellEnd"/>
          </w:p>
        </w:tc>
      </w:tr>
      <w:tr w:rsidR="00B41647" w:rsidRPr="00727388" w14:paraId="27214F65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A3913EF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ABE71D1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Myriophyllumaquaticum</w:t>
            </w:r>
            <w:proofErr w:type="spellEnd"/>
          </w:p>
        </w:tc>
      </w:tr>
      <w:tr w:rsidR="00B41647" w:rsidRPr="00727388" w14:paraId="6BBF14A9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3EFA1D2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Keserű hamisüröm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B1FBDBE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Partheniumhysterophorus</w:t>
            </w:r>
            <w:proofErr w:type="spellEnd"/>
          </w:p>
        </w:tc>
      </w:tr>
      <w:tr w:rsidR="00B41647" w:rsidRPr="00727388" w14:paraId="5C8261E7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C889427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Ördögfarok keserűfű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EA86047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Persicariaperfoliata</w:t>
            </w:r>
            <w:proofErr w:type="spellEnd"/>
          </w:p>
        </w:tc>
      </w:tr>
      <w:tr w:rsidR="00B41647" w:rsidRPr="00727388" w14:paraId="7E637B52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0F2BA2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Kudzu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nyílgyökér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ADC3ED6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Puerariamontana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var. </w:t>
            </w: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lobata</w:t>
            </w:r>
            <w:proofErr w:type="spellEnd"/>
          </w:p>
        </w:tc>
      </w:tr>
      <w:tr w:rsidR="00B41647" w:rsidRPr="00727388" w14:paraId="456A95DF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97EE1FD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Közönséges selyemkóró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3B081A6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Asclepiassyriaca</w:t>
            </w:r>
            <w:proofErr w:type="spellEnd"/>
          </w:p>
        </w:tc>
      </w:tr>
      <w:tr w:rsidR="00B41647" w:rsidRPr="00727388" w14:paraId="0EC4C3E1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5045A50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Vékonylevelű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átokhínár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30981C9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Elodeanuttallii</w:t>
            </w:r>
            <w:proofErr w:type="spellEnd"/>
          </w:p>
        </w:tc>
      </w:tr>
      <w:tr w:rsidR="00B41647" w:rsidRPr="00727388" w14:paraId="63E2183B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9B49A2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Bíbor nebáncsvirág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9649CDA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Impatiensglandulifera</w:t>
            </w:r>
            <w:proofErr w:type="spellEnd"/>
          </w:p>
        </w:tc>
      </w:tr>
      <w:tr w:rsidR="00B41647" w:rsidRPr="00727388" w14:paraId="12A685D0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3C882BF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Felemáslevelű</w:t>
            </w:r>
            <w:proofErr w:type="spellEnd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 xml:space="preserve"> süllőhínár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6E4CC821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Myriophyllumheterophyllum</w:t>
            </w:r>
            <w:proofErr w:type="spellEnd"/>
          </w:p>
        </w:tc>
      </w:tr>
      <w:tr w:rsidR="00B41647" w:rsidRPr="00727388" w14:paraId="2B78B94C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19683EBA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Kaukázusi medvetalp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4F3B27F5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Heracleummantegazzianum</w:t>
            </w:r>
            <w:proofErr w:type="spellEnd"/>
          </w:p>
        </w:tc>
      </w:tr>
      <w:tr w:rsidR="00B41647" w:rsidRPr="00727388" w14:paraId="052EFFEE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1696389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Óriásrebarbara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31C712F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Gunneratinctoria</w:t>
            </w:r>
            <w:proofErr w:type="spellEnd"/>
          </w:p>
        </w:tc>
      </w:tr>
      <w:tr w:rsidR="00B41647" w:rsidRPr="00727388" w14:paraId="61B35B16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771CF77E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Tollborzfű</w:t>
            </w: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2D4F9928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Pennisetumsetaceum</w:t>
            </w:r>
            <w:proofErr w:type="spellEnd"/>
          </w:p>
        </w:tc>
      </w:tr>
      <w:tr w:rsidR="00B41647" w:rsidRPr="00727388" w14:paraId="60B124FB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38BA46BD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5D38A224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Alternantheraphiloxeroides</w:t>
            </w:r>
            <w:proofErr w:type="spellEnd"/>
          </w:p>
        </w:tc>
      </w:tr>
      <w:tr w:rsidR="00B41647" w:rsidRPr="00727388" w14:paraId="35C9C0D6" w14:textId="77777777" w:rsidTr="00B46448">
        <w:trPr>
          <w:trHeight w:val="250"/>
          <w:tblCellSpacing w:w="0" w:type="dxa"/>
        </w:trPr>
        <w:tc>
          <w:tcPr>
            <w:tcW w:w="307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6E48C3A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</w:p>
        </w:tc>
        <w:tc>
          <w:tcPr>
            <w:tcW w:w="468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noWrap/>
            <w:vAlign w:val="center"/>
            <w:hideMark/>
          </w:tcPr>
          <w:p w14:paraId="08E434C9" w14:textId="77777777" w:rsidR="00B41647" w:rsidRPr="00727388" w:rsidRDefault="00B41647" w:rsidP="00B46448">
            <w:pPr>
              <w:spacing w:after="0" w:line="240" w:lineRule="auto"/>
              <w:rPr>
                <w:rFonts w:ascii="Arial Narrow" w:eastAsia="Times New Roman" w:hAnsi="Arial Narrow" w:cs="Times New Roman"/>
                <w:sz w:val="22"/>
                <w:lang w:eastAsia="hu-HU"/>
              </w:rPr>
            </w:pPr>
            <w:proofErr w:type="spellStart"/>
            <w:r w:rsidRPr="00727388">
              <w:rPr>
                <w:rFonts w:ascii="Arial Narrow" w:eastAsia="Times New Roman" w:hAnsi="Arial Narrow" w:cs="Times New Roman"/>
                <w:sz w:val="22"/>
                <w:lang w:eastAsia="hu-HU"/>
              </w:rPr>
              <w:t>Microstegiumvimineum</w:t>
            </w:r>
            <w:proofErr w:type="spellEnd"/>
          </w:p>
        </w:tc>
      </w:tr>
    </w:tbl>
    <w:p w14:paraId="17F7A5F7" w14:textId="77777777" w:rsidR="00B41647" w:rsidRPr="00727388" w:rsidRDefault="00B41647" w:rsidP="00B4164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12A6AE81" w14:textId="77777777" w:rsidR="00B41647" w:rsidRPr="00727388" w:rsidRDefault="00B41647" w:rsidP="00B41647">
      <w:pPr>
        <w:spacing w:after="0" w:line="240" w:lineRule="auto"/>
        <w:rPr>
          <w:rFonts w:ascii="Arial Narrow" w:eastAsia="Times New Roman" w:hAnsi="Arial Narrow" w:cs="Times New Roman"/>
          <w:sz w:val="22"/>
          <w:lang w:eastAsia="hu-HU"/>
        </w:rPr>
      </w:pPr>
    </w:p>
    <w:p w14:paraId="2ABF3D9D" w14:textId="77777777" w:rsidR="00130914" w:rsidRDefault="00130914"/>
    <w:sectPr w:rsidR="00130914" w:rsidSect="00710D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117A90"/>
    <w:multiLevelType w:val="hybridMultilevel"/>
    <w:tmpl w:val="248ED374"/>
    <w:lvl w:ilvl="0" w:tplc="3FBEE4A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91B0829"/>
    <w:multiLevelType w:val="hybridMultilevel"/>
    <w:tmpl w:val="D6921B08"/>
    <w:lvl w:ilvl="0" w:tplc="A7F2622E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1C06"/>
    <w:rsid w:val="00130914"/>
    <w:rsid w:val="00AB1C06"/>
    <w:rsid w:val="00B41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814011"/>
  <w15:chartTrackingRefBased/>
  <w15:docId w15:val="{71B18AB8-0F6A-4DF2-8CBF-B27EE4995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41647"/>
    <w:rPr>
      <w:rFonts w:ascii="Times New Roman" w:hAnsi="Times New Roman" w:cstheme="minorHAnsi"/>
      <w:sz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B416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946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 Iktató</dc:creator>
  <cp:keywords/>
  <dc:description/>
  <cp:lastModifiedBy>ASP Iktató</cp:lastModifiedBy>
  <cp:revision>2</cp:revision>
  <dcterms:created xsi:type="dcterms:W3CDTF">2018-10-08T05:56:00Z</dcterms:created>
  <dcterms:modified xsi:type="dcterms:W3CDTF">2018-10-08T05:56:00Z</dcterms:modified>
</cp:coreProperties>
</file>