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0585" w14:textId="77777777" w:rsidR="00D23954" w:rsidRDefault="00D23954" w:rsidP="00D23954">
      <w:pPr>
        <w:pStyle w:val="NormlWeb"/>
        <w:spacing w:before="0" w:beforeAutospacing="0" w:after="20" w:afterAutospacing="0"/>
        <w:ind w:left="708" w:firstLine="1"/>
        <w:jc w:val="center"/>
        <w:rPr>
          <w:b/>
        </w:rPr>
      </w:pPr>
      <w:r>
        <w:rPr>
          <w:b/>
        </w:rPr>
        <w:t>ELŐZETES HATÁSVIZSGÁLAT</w:t>
      </w:r>
    </w:p>
    <w:p w14:paraId="749C9C86" w14:textId="77777777" w:rsidR="00D23954" w:rsidRDefault="00D23954" w:rsidP="00D23954">
      <w:pPr>
        <w:spacing w:after="0" w:line="240" w:lineRule="auto"/>
        <w:jc w:val="center"/>
        <w:rPr>
          <w:rFonts w:eastAsia="Times New Roman"/>
          <w:b/>
          <w:spacing w:val="20"/>
          <w:lang w:eastAsia="hu-HU"/>
        </w:rPr>
      </w:pPr>
      <w:r>
        <w:rPr>
          <w:b/>
        </w:rPr>
        <w:t xml:space="preserve">mely ismerteti </w:t>
      </w:r>
      <w:r>
        <w:rPr>
          <w:rFonts w:eastAsia="Times New Roman"/>
          <w:b/>
          <w:spacing w:val="20"/>
          <w:lang w:eastAsia="hu-HU"/>
        </w:rPr>
        <w:t xml:space="preserve">Karancsalja Község Önkormányzata 2021. évi költségvetéséről </w:t>
      </w:r>
      <w:r>
        <w:rPr>
          <w:b/>
        </w:rPr>
        <w:t>szóló 1/2021. (III. 10.) rendelet megalkotásának várható következményeit</w:t>
      </w:r>
    </w:p>
    <w:p w14:paraId="372DBF62" w14:textId="77777777" w:rsidR="00D23954" w:rsidRDefault="00D23954" w:rsidP="00D23954">
      <w:pPr>
        <w:pStyle w:val="NormlWeb"/>
        <w:spacing w:before="0" w:beforeAutospacing="0" w:after="20" w:afterAutospacing="0"/>
        <w:ind w:left="708" w:firstLine="708"/>
        <w:jc w:val="center"/>
        <w:rPr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3"/>
        <w:gridCol w:w="4221"/>
      </w:tblGrid>
      <w:tr w:rsidR="00D23954" w14:paraId="514AF1C5" w14:textId="77777777" w:rsidTr="00D239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26F" w14:textId="77777777" w:rsidR="00D23954" w:rsidRDefault="00D23954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vizsgált kritériumok</w:t>
            </w:r>
          </w:p>
          <w:p w14:paraId="25487261" w14:textId="77777777" w:rsidR="00D23954" w:rsidRDefault="00D23954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B5FF" w14:textId="77777777" w:rsidR="00D23954" w:rsidRDefault="00D23954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vizsgálat eredménye</w:t>
            </w:r>
          </w:p>
        </w:tc>
      </w:tr>
      <w:tr w:rsidR="00D23954" w14:paraId="1DBC0157" w14:textId="77777777" w:rsidTr="00D239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F41" w14:textId="77777777" w:rsidR="00D23954" w:rsidRDefault="00D23954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társadalmi hatásai</w:t>
            </w:r>
          </w:p>
          <w:p w14:paraId="3ACC5E8A" w14:textId="77777777" w:rsidR="00D23954" w:rsidRDefault="00D23954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AA60" w14:textId="77777777" w:rsidR="00D23954" w:rsidRDefault="00D23954">
            <w:pPr>
              <w:pStyle w:val="Szvegtrzs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Az Önkormányzat és szervei működőképességéhez elengedhetetlen, hogy az Önkormányzat a tárgyévre vonatkozóan megalkossa költségvetési rendeletét.</w:t>
            </w:r>
          </w:p>
        </w:tc>
      </w:tr>
      <w:tr w:rsidR="00D23954" w14:paraId="421C2445" w14:textId="77777777" w:rsidTr="00D239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1FA0" w14:textId="77777777" w:rsidR="00D23954" w:rsidRDefault="00D23954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gazdasági, költségvetési hatásai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1FBB" w14:textId="77777777" w:rsidR="00D23954" w:rsidRDefault="00D23954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Az Önkormányzat és szervei működőképességéhez elengedhetetlen, hogy az Önkormányzat a tárgyévre vonatkozóan megalkossa költségvetési rendeletét.</w:t>
            </w:r>
          </w:p>
        </w:tc>
      </w:tr>
      <w:tr w:rsidR="00D23954" w14:paraId="4F0CDD86" w14:textId="77777777" w:rsidTr="00D239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5504" w14:textId="77777777" w:rsidR="00D23954" w:rsidRDefault="00D23954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környezeti következményei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4E25" w14:textId="77777777" w:rsidR="00D23954" w:rsidRDefault="00D23954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jogszabály tárgyából eredő környezeti következmények nem merülnek fel.</w:t>
            </w:r>
          </w:p>
        </w:tc>
      </w:tr>
      <w:tr w:rsidR="00D23954" w14:paraId="735050AB" w14:textId="77777777" w:rsidTr="00D239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2FBA" w14:textId="77777777" w:rsidR="00D23954" w:rsidRDefault="00D23954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egészségi következményei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C870" w14:textId="77777777" w:rsidR="00D23954" w:rsidRDefault="00D23954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jogszabály tárgyából eredő egészségi következmények nem merülnek fel.</w:t>
            </w:r>
          </w:p>
        </w:tc>
      </w:tr>
      <w:tr w:rsidR="00D23954" w14:paraId="20AED8F1" w14:textId="77777777" w:rsidTr="00D239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A41C" w14:textId="77777777" w:rsidR="00D23954" w:rsidRDefault="00D23954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adminisztratív terheket befolyásoló hatásai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A6E8" w14:textId="77777777" w:rsidR="00D23954" w:rsidRDefault="00D23954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elfogadásának és bevezetésének nincsenek jelentős adminisztratív terhei.</w:t>
            </w:r>
          </w:p>
        </w:tc>
      </w:tr>
      <w:tr w:rsidR="00D23954" w14:paraId="674CDC5F" w14:textId="77777777" w:rsidTr="00D239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540A" w14:textId="77777777" w:rsidR="00D23954" w:rsidRDefault="00D23954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jogszabály megalkotásának szükségessége, a jogalkotás elmaradásának várható következményei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F035" w14:textId="77777777" w:rsidR="00D23954" w:rsidRDefault="00D23954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jogszabály megalkotásának elmaradása következtében nem teljesülnének a magasabb jogszabályokban meghatározott követelmények</w:t>
            </w:r>
          </w:p>
        </w:tc>
      </w:tr>
      <w:tr w:rsidR="00D23954" w14:paraId="4B686FEF" w14:textId="77777777" w:rsidTr="00D239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0E6B" w14:textId="77777777" w:rsidR="00D23954" w:rsidRDefault="00D23954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jogszabály alkalmazásához szükséges személyi, szervezeti, tárgyi és pénzügyi feltételek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D38B" w14:textId="77777777" w:rsidR="00D23954" w:rsidRDefault="00D23954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jogszabály alkalmazásához szükséges személyi, szervezeti, tárgyi és pénzügyi feltételek rendelkezésre állnak.</w:t>
            </w:r>
          </w:p>
        </w:tc>
      </w:tr>
    </w:tbl>
    <w:p w14:paraId="009B0828" w14:textId="77777777" w:rsidR="00D23954" w:rsidRDefault="00D23954" w:rsidP="00D23954">
      <w:pPr>
        <w:autoSpaceDN w:val="0"/>
        <w:rPr>
          <w:b/>
          <w:lang w:eastAsia="hu-HU"/>
        </w:rPr>
      </w:pPr>
    </w:p>
    <w:p w14:paraId="5694A253" w14:textId="77777777" w:rsidR="00D23954" w:rsidRDefault="00D23954" w:rsidP="00D23954">
      <w:pPr>
        <w:autoSpaceDN w:val="0"/>
        <w:rPr>
          <w:b/>
          <w:lang w:eastAsia="hu-HU"/>
        </w:rPr>
      </w:pPr>
    </w:p>
    <w:p w14:paraId="1F24220C" w14:textId="77777777" w:rsidR="00D23954" w:rsidRDefault="00D23954" w:rsidP="00D23954">
      <w:pPr>
        <w:autoSpaceDN w:val="0"/>
        <w:rPr>
          <w:b/>
          <w:lang w:eastAsia="hu-HU"/>
        </w:rPr>
      </w:pPr>
    </w:p>
    <w:p w14:paraId="483AE7C6" w14:textId="77777777" w:rsidR="00D23954" w:rsidRDefault="00D23954" w:rsidP="00D23954">
      <w:pPr>
        <w:autoSpaceDN w:val="0"/>
        <w:rPr>
          <w:b/>
          <w:lang w:eastAsia="hu-HU"/>
        </w:rPr>
      </w:pPr>
    </w:p>
    <w:p w14:paraId="16DA605D" w14:textId="77777777" w:rsidR="00D23954" w:rsidRDefault="00D23954" w:rsidP="00D23954">
      <w:pPr>
        <w:autoSpaceDN w:val="0"/>
        <w:rPr>
          <w:b/>
          <w:lang w:eastAsia="hu-HU"/>
        </w:rPr>
      </w:pPr>
    </w:p>
    <w:p w14:paraId="52AF838F" w14:textId="77777777" w:rsidR="00D23954" w:rsidRDefault="00D23954" w:rsidP="00D23954">
      <w:pPr>
        <w:autoSpaceDN w:val="0"/>
        <w:rPr>
          <w:b/>
          <w:lang w:eastAsia="hu-HU"/>
        </w:rPr>
      </w:pPr>
    </w:p>
    <w:p w14:paraId="3256F27F" w14:textId="77777777" w:rsidR="00D23954" w:rsidRDefault="00D23954" w:rsidP="00D23954">
      <w:pPr>
        <w:autoSpaceDN w:val="0"/>
        <w:rPr>
          <w:b/>
          <w:lang w:eastAsia="hu-HU"/>
        </w:rPr>
      </w:pPr>
    </w:p>
    <w:p w14:paraId="4CA1BB0B" w14:textId="77777777" w:rsidR="00D23954" w:rsidRDefault="00D23954" w:rsidP="00D23954">
      <w:pPr>
        <w:autoSpaceDN w:val="0"/>
        <w:rPr>
          <w:b/>
          <w:lang w:eastAsia="hu-HU"/>
        </w:rPr>
      </w:pPr>
    </w:p>
    <w:p w14:paraId="739164B8" w14:textId="77777777" w:rsidR="00D23954" w:rsidRDefault="00D23954" w:rsidP="00D23954">
      <w:pPr>
        <w:autoSpaceDN w:val="0"/>
        <w:rPr>
          <w:b/>
          <w:lang w:eastAsia="hu-HU"/>
        </w:rPr>
      </w:pPr>
    </w:p>
    <w:p w14:paraId="2BD1CAE0" w14:textId="77777777" w:rsidR="00D23954" w:rsidRDefault="00D23954" w:rsidP="00D23954">
      <w:pPr>
        <w:autoSpaceDN w:val="0"/>
        <w:jc w:val="center"/>
        <w:rPr>
          <w:b/>
          <w:lang w:eastAsia="hu-HU"/>
        </w:rPr>
      </w:pPr>
      <w:r>
        <w:rPr>
          <w:b/>
          <w:lang w:eastAsia="hu-HU"/>
        </w:rPr>
        <w:t>INDOKOLÁS</w:t>
      </w:r>
    </w:p>
    <w:p w14:paraId="2A60B9BC" w14:textId="77777777" w:rsidR="00D23954" w:rsidRDefault="00D23954" w:rsidP="00D23954">
      <w:pPr>
        <w:autoSpaceDN w:val="0"/>
        <w:jc w:val="center"/>
        <w:rPr>
          <w:b/>
        </w:rPr>
      </w:pPr>
      <w:r>
        <w:rPr>
          <w:rFonts w:eastAsia="Times New Roman"/>
          <w:b/>
          <w:spacing w:val="20"/>
          <w:lang w:eastAsia="hu-HU"/>
        </w:rPr>
        <w:t xml:space="preserve">Karancsalja Község Önkormányzata 2021. évi költségvetéséről </w:t>
      </w:r>
      <w:r>
        <w:rPr>
          <w:b/>
        </w:rPr>
        <w:t xml:space="preserve">szóló </w:t>
      </w:r>
    </w:p>
    <w:p w14:paraId="5BC22A47" w14:textId="77777777" w:rsidR="00D23954" w:rsidRDefault="00D23954" w:rsidP="00D23954">
      <w:pPr>
        <w:autoSpaceDN w:val="0"/>
        <w:jc w:val="center"/>
        <w:rPr>
          <w:b/>
          <w:lang w:eastAsia="hu-HU"/>
        </w:rPr>
      </w:pPr>
      <w:r>
        <w:rPr>
          <w:b/>
        </w:rPr>
        <w:t>1/2021. (III. 10.) rendelet megalkotásához</w:t>
      </w:r>
    </w:p>
    <w:p w14:paraId="42DCBC7C" w14:textId="77777777" w:rsidR="00D23954" w:rsidRDefault="00D23954" w:rsidP="00D23954">
      <w:pPr>
        <w:autoSpaceDN w:val="0"/>
        <w:jc w:val="center"/>
        <w:rPr>
          <w:b/>
          <w:lang w:eastAsia="hu-HU"/>
        </w:rPr>
      </w:pPr>
    </w:p>
    <w:p w14:paraId="2937C0F5" w14:textId="77777777" w:rsidR="00D23954" w:rsidRDefault="00D23954" w:rsidP="00D23954">
      <w:pPr>
        <w:autoSpaceDN w:val="0"/>
        <w:jc w:val="center"/>
        <w:rPr>
          <w:u w:val="single"/>
          <w:lang w:eastAsia="hu-HU"/>
        </w:rPr>
      </w:pPr>
      <w:r>
        <w:rPr>
          <w:u w:val="single"/>
          <w:lang w:eastAsia="hu-HU"/>
        </w:rPr>
        <w:t>Általános indokolás</w:t>
      </w:r>
    </w:p>
    <w:p w14:paraId="5AF23DA9" w14:textId="77777777" w:rsidR="00D23954" w:rsidRDefault="00D23954" w:rsidP="00D23954">
      <w:pPr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szCs w:val="20"/>
          <w:lang w:eastAsia="hu-HU"/>
        </w:rPr>
        <w:t>Karancsalja Község Önkormányzat Képviselő-testülete</w:t>
      </w:r>
      <w:r>
        <w:rPr>
          <w:rFonts w:eastAsia="Times New Roman"/>
          <w:lang w:eastAsia="hu-HU"/>
        </w:rPr>
        <w:t xml:space="preserve"> Magyarország Alaptörvényének 32. cikk (1) bekezdés f.) pontjából fakadó eredeti jogalkotói hatáskörében eljárva, Magyarország helyi önkormányzatairól szóló 2011. évi CLXXXIX. törvény 42. § 1. pontjában-, az államháztartásról szóló 2011. évi CXCV. tv. 23. -24. §-aiban foglalt felhatalmazás alapján, figyelemmel Magyarország 2020. évi központi költségvetéséről szóló 2019. évi LXXI. törvény vonatkozó rendelkezéseire, az önkormányzat megalkotja 2020. évi költségvetését. A helyi önkormányzat költségvetése tartalmazza a helyi önkormányzat költségvetési bevételi előirányzatait és költségvetési kiadási előirányzatait, a helyi önkormányzat által irányított költségvetési szervek költségvetési bevételi előirányzatait és költségvetési kiadási előirányzatait, a költségvetési egyenleg összegét működési bevételek és működési kiadások egyenlege és a felhalmozási bevételek és a felhalmozási kiadások egyenlege szerinti bontásban, a költségvetés végrehajtásával kapcsolatos hatásköröket. </w:t>
      </w:r>
    </w:p>
    <w:p w14:paraId="1A346140" w14:textId="77777777" w:rsidR="00D23954" w:rsidRDefault="00D23954" w:rsidP="00D23954">
      <w:pPr>
        <w:autoSpaceDN w:val="0"/>
        <w:jc w:val="both"/>
        <w:rPr>
          <w:sz w:val="16"/>
          <w:szCs w:val="16"/>
          <w:lang w:eastAsia="hu-HU"/>
        </w:rPr>
      </w:pPr>
    </w:p>
    <w:p w14:paraId="66839A75" w14:textId="77777777" w:rsidR="00D23954" w:rsidRDefault="00D23954" w:rsidP="00D23954">
      <w:pPr>
        <w:autoSpaceDN w:val="0"/>
        <w:jc w:val="center"/>
        <w:rPr>
          <w:u w:val="single"/>
        </w:rPr>
      </w:pPr>
      <w:r>
        <w:rPr>
          <w:u w:val="single"/>
        </w:rPr>
        <w:t>Részletes indokolás</w:t>
      </w:r>
      <w:r>
        <w:rPr>
          <w:rFonts w:eastAsia="TimesNewRoman"/>
          <w:u w:val="single"/>
        </w:rPr>
        <w:t xml:space="preserve"> </w:t>
      </w:r>
    </w:p>
    <w:p w14:paraId="61C95BE9" w14:textId="77777777" w:rsidR="00D23954" w:rsidRDefault="00D23954" w:rsidP="00D23954">
      <w:pPr>
        <w:autoSpaceDN w:val="0"/>
        <w:jc w:val="center"/>
      </w:pPr>
    </w:p>
    <w:p w14:paraId="04D7D895" w14:textId="77777777" w:rsidR="00D23954" w:rsidRDefault="00D23954" w:rsidP="00D23954">
      <w:pPr>
        <w:pStyle w:val="Listaszerbekezds"/>
        <w:numPr>
          <w:ilvl w:val="0"/>
          <w:numId w:val="1"/>
        </w:numPr>
        <w:autoSpaceDN w:val="0"/>
        <w:spacing w:after="0" w:line="240" w:lineRule="auto"/>
        <w:jc w:val="center"/>
      </w:pPr>
      <w:r>
        <w:t>– 2.  §-hoz</w:t>
      </w:r>
    </w:p>
    <w:p w14:paraId="679C84EC" w14:textId="77777777" w:rsidR="00D23954" w:rsidRDefault="00D23954" w:rsidP="00D23954">
      <w:pPr>
        <w:autoSpaceDN w:val="0"/>
        <w:spacing w:after="0" w:line="240" w:lineRule="auto"/>
      </w:pPr>
    </w:p>
    <w:p w14:paraId="7AA445CC" w14:textId="77777777" w:rsidR="00D23954" w:rsidRDefault="00D23954" w:rsidP="00D23954">
      <w:pPr>
        <w:autoSpaceDN w:val="0"/>
        <w:spacing w:after="0" w:line="240" w:lineRule="auto"/>
      </w:pPr>
      <w:r>
        <w:t>A rendelet célját és hatályát rögzíti.</w:t>
      </w:r>
    </w:p>
    <w:p w14:paraId="0B168AD0" w14:textId="77777777" w:rsidR="00D23954" w:rsidRDefault="00D23954" w:rsidP="00D23954">
      <w:pPr>
        <w:pStyle w:val="Listaszerbekezds"/>
        <w:numPr>
          <w:ilvl w:val="0"/>
          <w:numId w:val="2"/>
        </w:numPr>
        <w:autoSpaceDN w:val="0"/>
        <w:spacing w:after="0" w:line="240" w:lineRule="auto"/>
        <w:jc w:val="center"/>
      </w:pPr>
      <w:r>
        <w:t>§-hoz</w:t>
      </w:r>
    </w:p>
    <w:p w14:paraId="7AD81005" w14:textId="77777777" w:rsidR="00D23954" w:rsidRDefault="00D23954" w:rsidP="00D23954">
      <w:pPr>
        <w:pStyle w:val="Listaszerbekezds"/>
        <w:autoSpaceDN w:val="0"/>
        <w:spacing w:after="0" w:line="240" w:lineRule="auto"/>
      </w:pPr>
    </w:p>
    <w:p w14:paraId="4DEB9470" w14:textId="77777777" w:rsidR="00D23954" w:rsidRDefault="00D23954" w:rsidP="00D23954">
      <w:pPr>
        <w:spacing w:after="0" w:line="240" w:lineRule="auto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A</w:t>
      </w:r>
      <w:r>
        <w:rPr>
          <w:rFonts w:eastAsia="Times New Roman"/>
          <w:b/>
          <w:szCs w:val="20"/>
          <w:lang w:eastAsia="hu-HU"/>
        </w:rPr>
        <w:t xml:space="preserve"> </w:t>
      </w:r>
      <w:r>
        <w:rPr>
          <w:rFonts w:eastAsia="Times New Roman"/>
          <w:szCs w:val="20"/>
          <w:lang w:eastAsia="hu-HU"/>
        </w:rPr>
        <w:t>költségvetés bevételeit és kiadásait tartalmazza.</w:t>
      </w:r>
    </w:p>
    <w:p w14:paraId="61AA7A02" w14:textId="77777777" w:rsidR="00D23954" w:rsidRDefault="00D23954" w:rsidP="00D23954">
      <w:pPr>
        <w:spacing w:after="0" w:line="240" w:lineRule="auto"/>
        <w:rPr>
          <w:rFonts w:eastAsia="Times New Roman"/>
          <w:szCs w:val="20"/>
          <w:lang w:eastAsia="hu-HU"/>
        </w:rPr>
      </w:pPr>
    </w:p>
    <w:p w14:paraId="64177917" w14:textId="77777777" w:rsidR="00D23954" w:rsidRDefault="00D23954" w:rsidP="00D23954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§-hoz</w:t>
      </w:r>
    </w:p>
    <w:p w14:paraId="738D4371" w14:textId="77777777" w:rsidR="00D23954" w:rsidRDefault="00D23954" w:rsidP="00D23954">
      <w:pPr>
        <w:pStyle w:val="Listaszerbekezds"/>
        <w:spacing w:after="0" w:line="240" w:lineRule="auto"/>
        <w:rPr>
          <w:rFonts w:eastAsia="Times New Roman"/>
          <w:szCs w:val="20"/>
          <w:lang w:eastAsia="hu-HU"/>
        </w:rPr>
      </w:pPr>
    </w:p>
    <w:p w14:paraId="0D6128F6" w14:textId="77777777" w:rsidR="00D23954" w:rsidRDefault="00D23954" w:rsidP="00D23954">
      <w:pPr>
        <w:autoSpaceDN w:val="0"/>
      </w:pPr>
      <w:r>
        <w:t>Az önkormányzat bevételeihez kapcsolódó mellékletek meghatározását tartalmazza.</w:t>
      </w:r>
    </w:p>
    <w:p w14:paraId="636D0FDA" w14:textId="77777777" w:rsidR="00D23954" w:rsidRDefault="00D23954" w:rsidP="00D23954">
      <w:pPr>
        <w:pStyle w:val="Listaszerbekezds"/>
        <w:numPr>
          <w:ilvl w:val="0"/>
          <w:numId w:val="2"/>
        </w:numPr>
        <w:autoSpaceDN w:val="0"/>
        <w:jc w:val="center"/>
      </w:pPr>
      <w:r>
        <w:t>§-hoz</w:t>
      </w:r>
    </w:p>
    <w:p w14:paraId="6A05F7A8" w14:textId="77777777" w:rsidR="00D23954" w:rsidRDefault="00D23954" w:rsidP="00D23954">
      <w:pPr>
        <w:autoSpaceDN w:val="0"/>
      </w:pPr>
      <w:r>
        <w:t>Az önkormányzat kiadásaihoz kapcsolódó mellékletek meghatározását tartalmazza.</w:t>
      </w:r>
    </w:p>
    <w:p w14:paraId="01FAE398" w14:textId="77777777" w:rsidR="00D23954" w:rsidRDefault="00D23954" w:rsidP="00D23954">
      <w:pPr>
        <w:pStyle w:val="Listaszerbekezds"/>
        <w:numPr>
          <w:ilvl w:val="0"/>
          <w:numId w:val="2"/>
        </w:numPr>
        <w:autoSpaceDN w:val="0"/>
        <w:jc w:val="center"/>
      </w:pPr>
      <w:r>
        <w:t>§-hoz</w:t>
      </w:r>
    </w:p>
    <w:p w14:paraId="10F9DF7D" w14:textId="77777777" w:rsidR="00D23954" w:rsidRDefault="00D23954" w:rsidP="00D23954">
      <w:pPr>
        <w:autoSpaceDN w:val="0"/>
      </w:pPr>
      <w:r>
        <w:t>A forráshiány finanszírozásának kezeléséhez kapcsolódó rendelkezéseket tartalmazza.</w:t>
      </w:r>
    </w:p>
    <w:p w14:paraId="5CFF8AC3" w14:textId="77777777" w:rsidR="00D23954" w:rsidRDefault="00D23954" w:rsidP="00D23954">
      <w:pPr>
        <w:pStyle w:val="Listaszerbekezds"/>
        <w:numPr>
          <w:ilvl w:val="0"/>
          <w:numId w:val="2"/>
        </w:numPr>
        <w:autoSpaceDN w:val="0"/>
        <w:jc w:val="center"/>
      </w:pPr>
      <w:r>
        <w:t>§-hoz</w:t>
      </w:r>
    </w:p>
    <w:p w14:paraId="527B4F34" w14:textId="77777777" w:rsidR="00D23954" w:rsidRDefault="00D23954" w:rsidP="00D23954">
      <w:pPr>
        <w:autoSpaceDN w:val="0"/>
      </w:pPr>
      <w:r>
        <w:t>A tartalékra vonatkozó rendelkezéseket tartalmazza.</w:t>
      </w:r>
    </w:p>
    <w:p w14:paraId="5F9A5B1A" w14:textId="77777777" w:rsidR="00D23954" w:rsidRDefault="00D23954" w:rsidP="00D23954">
      <w:pPr>
        <w:autoSpaceDN w:val="0"/>
      </w:pPr>
    </w:p>
    <w:p w14:paraId="3FA5CCC9" w14:textId="77777777" w:rsidR="00D23954" w:rsidRDefault="00D23954" w:rsidP="00D23954">
      <w:pPr>
        <w:pStyle w:val="Listaszerbekezds"/>
        <w:numPr>
          <w:ilvl w:val="0"/>
          <w:numId w:val="2"/>
        </w:numPr>
        <w:autoSpaceDN w:val="0"/>
        <w:jc w:val="center"/>
      </w:pPr>
      <w:r>
        <w:t>§-hoz</w:t>
      </w:r>
    </w:p>
    <w:p w14:paraId="56AE1AC7" w14:textId="77777777" w:rsidR="00D23954" w:rsidRDefault="00D23954" w:rsidP="00D23954">
      <w:pPr>
        <w:autoSpaceDN w:val="0"/>
      </w:pPr>
      <w:r>
        <w:t>Költségvetési létszámkeret meghatározását tartalmazza.</w:t>
      </w:r>
    </w:p>
    <w:p w14:paraId="70462360" w14:textId="77777777" w:rsidR="00D23954" w:rsidRDefault="00D23954" w:rsidP="00D23954">
      <w:pPr>
        <w:pStyle w:val="Listaszerbekezds"/>
        <w:numPr>
          <w:ilvl w:val="0"/>
          <w:numId w:val="2"/>
        </w:numPr>
        <w:autoSpaceDN w:val="0"/>
        <w:jc w:val="center"/>
      </w:pPr>
      <w:r>
        <w:t>– 12. §-hoz</w:t>
      </w:r>
    </w:p>
    <w:p w14:paraId="4DC806F8" w14:textId="77777777" w:rsidR="00D23954" w:rsidRDefault="00D23954" w:rsidP="00D23954">
      <w:pPr>
        <w:autoSpaceDN w:val="0"/>
      </w:pPr>
      <w:r>
        <w:t>A 2021. évi költségvetés végrehajtásának szabályait rögzíti.</w:t>
      </w:r>
    </w:p>
    <w:p w14:paraId="0DC043EB" w14:textId="77777777" w:rsidR="00D23954" w:rsidRDefault="00D23954" w:rsidP="00D23954">
      <w:pPr>
        <w:autoSpaceDN w:val="0"/>
        <w:jc w:val="center"/>
      </w:pPr>
      <w:r>
        <w:t>13. §-hoz</w:t>
      </w:r>
    </w:p>
    <w:p w14:paraId="23FA5076" w14:textId="77777777" w:rsidR="00D23954" w:rsidRDefault="00D23954" w:rsidP="00D23954">
      <w:pPr>
        <w:autoSpaceDN w:val="0"/>
        <w:jc w:val="both"/>
      </w:pPr>
      <w:r>
        <w:t>A költségvetési maradvány megállapításához, elszámolásához és felhasználásához rögzíti a rendelkezéseket.</w:t>
      </w:r>
    </w:p>
    <w:p w14:paraId="54ED7A49" w14:textId="77777777" w:rsidR="00D23954" w:rsidRDefault="00D23954" w:rsidP="00D23954">
      <w:pPr>
        <w:autoSpaceDN w:val="0"/>
        <w:jc w:val="center"/>
      </w:pPr>
      <w:r>
        <w:t>14. §-hoz</w:t>
      </w:r>
    </w:p>
    <w:p w14:paraId="35791DEF" w14:textId="77777777" w:rsidR="00D23954" w:rsidRDefault="00D23954" w:rsidP="00D23954">
      <w:pPr>
        <w:autoSpaceDN w:val="0"/>
      </w:pPr>
      <w:r>
        <w:t>Az önkormányzati biztosra vonatkozó rendelkezéseket tartalmazza.</w:t>
      </w:r>
    </w:p>
    <w:p w14:paraId="027E2462" w14:textId="77777777" w:rsidR="00D23954" w:rsidRDefault="00D23954" w:rsidP="00D23954">
      <w:pPr>
        <w:autoSpaceDN w:val="0"/>
        <w:jc w:val="center"/>
      </w:pPr>
      <w:r>
        <w:t>15. §-hoz</w:t>
      </w:r>
    </w:p>
    <w:p w14:paraId="3C466CD0" w14:textId="77777777" w:rsidR="00D23954" w:rsidRDefault="00D23954" w:rsidP="00D23954">
      <w:pPr>
        <w:autoSpaceDN w:val="0"/>
        <w:jc w:val="both"/>
      </w:pPr>
      <w:r>
        <w:t>Az önkormányzati költségvetési szervek gazdálkodásához kapcsolódó rendelkezéseket tartalmazza.</w:t>
      </w:r>
    </w:p>
    <w:p w14:paraId="74C93DA8" w14:textId="77777777" w:rsidR="00D23954" w:rsidRDefault="00D23954" w:rsidP="00D23954">
      <w:pPr>
        <w:autoSpaceDN w:val="0"/>
        <w:jc w:val="center"/>
      </w:pPr>
      <w:r>
        <w:t>16. – 20.  §-hoz</w:t>
      </w:r>
    </w:p>
    <w:p w14:paraId="674F3B8F" w14:textId="77777777" w:rsidR="00D23954" w:rsidRDefault="00D23954" w:rsidP="00D23954">
      <w:pPr>
        <w:autoSpaceDN w:val="0"/>
      </w:pPr>
      <w:r>
        <w:t>A vegyes és átmeneti rendelkezéseket tartalmazza.</w:t>
      </w:r>
    </w:p>
    <w:p w14:paraId="65ACBB95" w14:textId="77777777" w:rsidR="00D23954" w:rsidRDefault="00D23954" w:rsidP="00D23954">
      <w:pPr>
        <w:autoSpaceDN w:val="0"/>
        <w:jc w:val="center"/>
      </w:pPr>
      <w:r>
        <w:t>21. §-hoz</w:t>
      </w:r>
    </w:p>
    <w:p w14:paraId="2EA52CC7" w14:textId="77777777" w:rsidR="00D23954" w:rsidRDefault="00D23954" w:rsidP="00D23954">
      <w:pPr>
        <w:autoSpaceDN w:val="0"/>
      </w:pPr>
      <w:r>
        <w:t>A rendelet hatályba lépését rögzíti.</w:t>
      </w:r>
    </w:p>
    <w:p w14:paraId="5F5ECF03" w14:textId="77777777" w:rsidR="00F7299D" w:rsidRDefault="00F7299D"/>
    <w:sectPr w:rsidR="00F7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93E5C"/>
    <w:multiLevelType w:val="hybridMultilevel"/>
    <w:tmpl w:val="D242E4C2"/>
    <w:lvl w:ilvl="0" w:tplc="BC3489CE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7728B"/>
    <w:multiLevelType w:val="hybridMultilevel"/>
    <w:tmpl w:val="53DEC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54"/>
    <w:rsid w:val="00D23954"/>
    <w:rsid w:val="00F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F644"/>
  <w15:chartTrackingRefBased/>
  <w15:docId w15:val="{5865A1C7-1E66-43E0-A576-3F6DCB12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395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D23954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23954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D239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2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László Tünde</dc:creator>
  <cp:keywords/>
  <dc:description/>
  <cp:lastModifiedBy>dr. László Tünde</cp:lastModifiedBy>
  <cp:revision>2</cp:revision>
  <dcterms:created xsi:type="dcterms:W3CDTF">2021-03-18T12:47:00Z</dcterms:created>
  <dcterms:modified xsi:type="dcterms:W3CDTF">2021-03-18T12:47:00Z</dcterms:modified>
</cp:coreProperties>
</file>