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30" w:rsidRPr="00F61507" w:rsidRDefault="00043130" w:rsidP="00043130">
      <w:pPr>
        <w:jc w:val="center"/>
        <w:rPr>
          <w:b/>
          <w:sz w:val="24"/>
          <w:szCs w:val="24"/>
        </w:rPr>
      </w:pPr>
      <w:r w:rsidRPr="00F61507">
        <w:rPr>
          <w:b/>
          <w:sz w:val="24"/>
          <w:szCs w:val="24"/>
        </w:rPr>
        <w:t>1. számú melléklet</w:t>
      </w:r>
      <w:r>
        <w:rPr>
          <w:rStyle w:val="Lbjegyzet-hivatkozs"/>
          <w:b/>
          <w:sz w:val="24"/>
          <w:szCs w:val="24"/>
        </w:rPr>
        <w:footnoteReference w:id="1"/>
      </w:r>
    </w:p>
    <w:p w:rsidR="00043130" w:rsidRPr="00F61507" w:rsidRDefault="00043130" w:rsidP="00043130">
      <w:pPr>
        <w:jc w:val="center"/>
        <w:rPr>
          <w:b/>
          <w:sz w:val="24"/>
          <w:szCs w:val="24"/>
        </w:rPr>
      </w:pPr>
    </w:p>
    <w:p w:rsidR="00043130" w:rsidRPr="00F61507" w:rsidRDefault="00043130" w:rsidP="00043130">
      <w:pPr>
        <w:jc w:val="center"/>
        <w:rPr>
          <w:b/>
          <w:sz w:val="24"/>
          <w:szCs w:val="24"/>
          <w:u w:val="single"/>
        </w:rPr>
      </w:pPr>
      <w:r w:rsidRPr="00F61507">
        <w:rPr>
          <w:b/>
          <w:sz w:val="24"/>
          <w:szCs w:val="24"/>
        </w:rPr>
        <w:t>Átruházott hatáskörök felsorolása</w:t>
      </w:r>
    </w:p>
    <w:p w:rsidR="00043130" w:rsidRPr="00F61507" w:rsidRDefault="00043130" w:rsidP="00043130">
      <w:pPr>
        <w:jc w:val="both"/>
        <w:rPr>
          <w:sz w:val="24"/>
          <w:szCs w:val="24"/>
          <w:u w:val="single"/>
        </w:rPr>
      </w:pPr>
    </w:p>
    <w:p w:rsidR="00043130" w:rsidRPr="00F61507" w:rsidRDefault="00043130" w:rsidP="00043130">
      <w:pPr>
        <w:jc w:val="both"/>
        <w:rPr>
          <w:sz w:val="24"/>
          <w:szCs w:val="24"/>
          <w:u w:val="single"/>
        </w:rPr>
      </w:pPr>
    </w:p>
    <w:p w:rsidR="00043130" w:rsidRPr="00F61507" w:rsidRDefault="00043130" w:rsidP="00043130">
      <w:pPr>
        <w:tabs>
          <w:tab w:val="center" w:pos="7088"/>
        </w:tabs>
        <w:jc w:val="both"/>
        <w:rPr>
          <w:b/>
          <w:bCs/>
          <w:sz w:val="24"/>
          <w:szCs w:val="24"/>
        </w:rPr>
      </w:pPr>
      <w:r w:rsidRPr="00F61507">
        <w:rPr>
          <w:b/>
          <w:bCs/>
          <w:sz w:val="24"/>
          <w:szCs w:val="24"/>
        </w:rPr>
        <w:t>A Képviselő-testület által a polgármesterre átruházott önkormányzati feladat- és hatáskörök:</w:t>
      </w:r>
    </w:p>
    <w:p w:rsidR="00043130" w:rsidRPr="00F61507" w:rsidRDefault="00043130" w:rsidP="00043130">
      <w:pPr>
        <w:jc w:val="both"/>
        <w:rPr>
          <w:sz w:val="24"/>
          <w:szCs w:val="24"/>
        </w:rPr>
      </w:pPr>
    </w:p>
    <w:p w:rsidR="00043130" w:rsidRPr="00F61507" w:rsidRDefault="00043130" w:rsidP="00043130">
      <w:pPr>
        <w:jc w:val="both"/>
        <w:rPr>
          <w:i/>
          <w:sz w:val="24"/>
          <w:szCs w:val="24"/>
        </w:rPr>
      </w:pPr>
      <w:r w:rsidRPr="00F61507">
        <w:rPr>
          <w:i/>
          <w:sz w:val="24"/>
          <w:szCs w:val="24"/>
        </w:rPr>
        <w:t>- lakhatási települési támogatás megállapítása</w:t>
      </w:r>
    </w:p>
    <w:p w:rsidR="00043130" w:rsidRPr="00F61507" w:rsidRDefault="00043130" w:rsidP="00043130">
      <w:pPr>
        <w:jc w:val="both"/>
        <w:rPr>
          <w:i/>
          <w:sz w:val="24"/>
          <w:szCs w:val="24"/>
        </w:rPr>
      </w:pPr>
      <w:r w:rsidRPr="00F61507">
        <w:rPr>
          <w:i/>
          <w:sz w:val="24"/>
          <w:szCs w:val="24"/>
        </w:rPr>
        <w:t>- rendkívüli települési támogatás, rendkívüli települési temetési támogatás megállapítása</w:t>
      </w:r>
    </w:p>
    <w:p w:rsidR="00043130" w:rsidRPr="00F61507" w:rsidRDefault="00043130" w:rsidP="00043130">
      <w:pPr>
        <w:pStyle w:val="Szvegtrzs2"/>
        <w:rPr>
          <w:sz w:val="24"/>
          <w:szCs w:val="24"/>
        </w:rPr>
      </w:pPr>
      <w:r w:rsidRPr="00F61507">
        <w:rPr>
          <w:sz w:val="24"/>
          <w:szCs w:val="24"/>
        </w:rPr>
        <w:t>- behajtási engedély kiadása</w:t>
      </w:r>
    </w:p>
    <w:p w:rsidR="00043130" w:rsidRPr="00F61507" w:rsidRDefault="00043130" w:rsidP="00043130">
      <w:pPr>
        <w:tabs>
          <w:tab w:val="center" w:pos="7088"/>
        </w:tabs>
        <w:jc w:val="both"/>
        <w:rPr>
          <w:b/>
          <w:bCs/>
          <w:sz w:val="24"/>
          <w:szCs w:val="24"/>
        </w:rPr>
      </w:pPr>
    </w:p>
    <w:p w:rsidR="00043130" w:rsidRPr="00F61507" w:rsidRDefault="00043130" w:rsidP="00043130">
      <w:pPr>
        <w:tabs>
          <w:tab w:val="center" w:pos="7088"/>
        </w:tabs>
        <w:jc w:val="both"/>
        <w:rPr>
          <w:b/>
          <w:bCs/>
          <w:sz w:val="24"/>
          <w:szCs w:val="24"/>
        </w:rPr>
      </w:pPr>
    </w:p>
    <w:p w:rsidR="00043130" w:rsidRPr="00F61507" w:rsidRDefault="00043130" w:rsidP="00043130">
      <w:pPr>
        <w:tabs>
          <w:tab w:val="center" w:pos="7088"/>
        </w:tabs>
        <w:jc w:val="both"/>
        <w:rPr>
          <w:b/>
          <w:bCs/>
          <w:sz w:val="24"/>
          <w:szCs w:val="24"/>
        </w:rPr>
      </w:pPr>
    </w:p>
    <w:p w:rsidR="00043130" w:rsidRPr="00F61507" w:rsidRDefault="00043130" w:rsidP="00043130">
      <w:pPr>
        <w:tabs>
          <w:tab w:val="center" w:pos="7088"/>
        </w:tabs>
        <w:jc w:val="both"/>
        <w:rPr>
          <w:b/>
          <w:bCs/>
          <w:sz w:val="24"/>
          <w:szCs w:val="24"/>
        </w:rPr>
      </w:pPr>
      <w:r w:rsidRPr="00F61507">
        <w:rPr>
          <w:b/>
          <w:bCs/>
          <w:sz w:val="24"/>
          <w:szCs w:val="24"/>
        </w:rPr>
        <w:t>A Képviselő-testület által a Népjóléti, Oktatási, Kulturális és Sport Bizottságra átruházott önkormányzati feladat- és hatáskörök:</w:t>
      </w:r>
    </w:p>
    <w:p w:rsidR="00043130" w:rsidRPr="00F61507" w:rsidRDefault="00043130" w:rsidP="00043130">
      <w:pPr>
        <w:jc w:val="both"/>
        <w:rPr>
          <w:sz w:val="24"/>
          <w:szCs w:val="24"/>
        </w:rPr>
      </w:pPr>
    </w:p>
    <w:p w:rsidR="00043130" w:rsidRPr="00F61507" w:rsidRDefault="00043130" w:rsidP="00043130">
      <w:pPr>
        <w:jc w:val="both"/>
        <w:rPr>
          <w:i/>
          <w:sz w:val="24"/>
          <w:szCs w:val="24"/>
        </w:rPr>
      </w:pPr>
      <w:r w:rsidRPr="00F61507">
        <w:rPr>
          <w:i/>
          <w:sz w:val="24"/>
          <w:szCs w:val="24"/>
        </w:rPr>
        <w:t>- ápolási települési támogatás megállapítása</w:t>
      </w:r>
    </w:p>
    <w:p w:rsidR="00043130" w:rsidRPr="00F61507" w:rsidRDefault="00043130" w:rsidP="00043130">
      <w:pPr>
        <w:jc w:val="both"/>
        <w:rPr>
          <w:sz w:val="24"/>
          <w:szCs w:val="24"/>
        </w:rPr>
      </w:pPr>
      <w:r w:rsidRPr="00F61507">
        <w:rPr>
          <w:sz w:val="24"/>
          <w:szCs w:val="24"/>
        </w:rPr>
        <w:t>- szociális célú tűzifa támogatás megállapítása</w:t>
      </w:r>
    </w:p>
    <w:p w:rsidR="00043130" w:rsidRPr="00F61507" w:rsidRDefault="00043130" w:rsidP="00043130">
      <w:pPr>
        <w:jc w:val="both"/>
        <w:rPr>
          <w:sz w:val="24"/>
          <w:szCs w:val="24"/>
        </w:rPr>
      </w:pPr>
      <w:r w:rsidRPr="00F61507">
        <w:rPr>
          <w:sz w:val="24"/>
          <w:szCs w:val="24"/>
        </w:rPr>
        <w:t xml:space="preserve">- </w:t>
      </w:r>
      <w:proofErr w:type="spellStart"/>
      <w:r w:rsidRPr="00F61507">
        <w:rPr>
          <w:sz w:val="24"/>
          <w:szCs w:val="24"/>
        </w:rPr>
        <w:t>Bursa</w:t>
      </w:r>
      <w:proofErr w:type="spellEnd"/>
      <w:r w:rsidRPr="00F61507">
        <w:rPr>
          <w:sz w:val="24"/>
          <w:szCs w:val="24"/>
        </w:rPr>
        <w:t xml:space="preserve"> Hungarica támogatás megállapítása</w:t>
      </w:r>
    </w:p>
    <w:p w:rsidR="00043130" w:rsidRPr="00F61507" w:rsidRDefault="00043130" w:rsidP="00043130">
      <w:pPr>
        <w:pStyle w:val="Szvegtrzs2"/>
        <w:rPr>
          <w:sz w:val="24"/>
          <w:szCs w:val="24"/>
        </w:rPr>
      </w:pPr>
    </w:p>
    <w:p w:rsidR="00043130" w:rsidRPr="00F61507" w:rsidRDefault="00043130" w:rsidP="00043130">
      <w:pPr>
        <w:pStyle w:val="Szvegtrzs2"/>
        <w:rPr>
          <w:sz w:val="24"/>
          <w:szCs w:val="24"/>
        </w:rPr>
      </w:pPr>
    </w:p>
    <w:p w:rsidR="00043130" w:rsidRPr="00F61507" w:rsidRDefault="00043130" w:rsidP="00043130">
      <w:pPr>
        <w:pStyle w:val="Szvegtrzs2"/>
        <w:rPr>
          <w:sz w:val="24"/>
          <w:szCs w:val="24"/>
        </w:rPr>
      </w:pPr>
    </w:p>
    <w:p w:rsidR="00043130" w:rsidRPr="00F61507" w:rsidRDefault="00043130" w:rsidP="00043130">
      <w:pPr>
        <w:tabs>
          <w:tab w:val="center" w:pos="7088"/>
        </w:tabs>
        <w:jc w:val="both"/>
        <w:rPr>
          <w:b/>
          <w:bCs/>
          <w:sz w:val="24"/>
          <w:szCs w:val="24"/>
        </w:rPr>
      </w:pPr>
      <w:r w:rsidRPr="00F61507">
        <w:rPr>
          <w:b/>
          <w:bCs/>
          <w:sz w:val="24"/>
          <w:szCs w:val="24"/>
        </w:rPr>
        <w:t>A Képviselő-testület által a jegyzőre átruházott önkormányzati feladat- és hatáskörök:</w:t>
      </w:r>
    </w:p>
    <w:p w:rsidR="00043130" w:rsidRPr="00F61507" w:rsidRDefault="00043130" w:rsidP="00043130">
      <w:pPr>
        <w:tabs>
          <w:tab w:val="center" w:pos="7088"/>
        </w:tabs>
        <w:jc w:val="both"/>
        <w:rPr>
          <w:bCs/>
          <w:sz w:val="24"/>
          <w:szCs w:val="24"/>
        </w:rPr>
      </w:pPr>
    </w:p>
    <w:p w:rsidR="00043130" w:rsidRPr="00F61507" w:rsidRDefault="00043130" w:rsidP="00043130">
      <w:pPr>
        <w:pStyle w:val="Szvegtrzs2"/>
        <w:rPr>
          <w:i/>
          <w:sz w:val="24"/>
          <w:szCs w:val="24"/>
        </w:rPr>
      </w:pPr>
      <w:r w:rsidRPr="00F61507">
        <w:rPr>
          <w:i/>
          <w:sz w:val="24"/>
          <w:szCs w:val="24"/>
        </w:rPr>
        <w:t xml:space="preserve">- </w:t>
      </w:r>
      <w:proofErr w:type="spellStart"/>
      <w:r w:rsidRPr="00F61507">
        <w:rPr>
          <w:i/>
          <w:sz w:val="24"/>
          <w:szCs w:val="24"/>
        </w:rPr>
        <w:t>közgyógy</w:t>
      </w:r>
      <w:proofErr w:type="spellEnd"/>
      <w:r w:rsidRPr="00F61507">
        <w:rPr>
          <w:i/>
          <w:sz w:val="24"/>
          <w:szCs w:val="24"/>
        </w:rPr>
        <w:t xml:space="preserve"> települési támogatás megállapítása</w:t>
      </w:r>
    </w:p>
    <w:p w:rsidR="00043130" w:rsidRPr="00F61507" w:rsidRDefault="00043130" w:rsidP="00043130">
      <w:pPr>
        <w:pStyle w:val="Szvegtrzs2"/>
        <w:ind w:right="28"/>
        <w:rPr>
          <w:sz w:val="24"/>
          <w:szCs w:val="24"/>
        </w:rPr>
      </w:pPr>
      <w:r w:rsidRPr="00F61507">
        <w:rPr>
          <w:sz w:val="24"/>
          <w:szCs w:val="24"/>
        </w:rPr>
        <w:t xml:space="preserve">- közösségi együttélés alapvető </w:t>
      </w:r>
      <w:proofErr w:type="gramStart"/>
      <w:r w:rsidRPr="00F61507">
        <w:rPr>
          <w:sz w:val="24"/>
          <w:szCs w:val="24"/>
        </w:rPr>
        <w:t>szabályaival</w:t>
      </w:r>
      <w:proofErr w:type="gramEnd"/>
      <w:r w:rsidRPr="00F61507">
        <w:rPr>
          <w:sz w:val="24"/>
          <w:szCs w:val="24"/>
        </w:rPr>
        <w:t xml:space="preserve"> ellentétes magatartással összefüggő önkormányzati hatósági eljárás lefolytatása és a közigazgatási bírság kiszabása</w:t>
      </w:r>
    </w:p>
    <w:p w:rsidR="00043130" w:rsidRPr="00F61507" w:rsidRDefault="00043130" w:rsidP="00043130">
      <w:pPr>
        <w:pStyle w:val="Szvegtrzs2"/>
        <w:ind w:right="28"/>
        <w:rPr>
          <w:sz w:val="24"/>
          <w:szCs w:val="24"/>
        </w:rPr>
      </w:pPr>
      <w:r w:rsidRPr="00F61507">
        <w:rPr>
          <w:sz w:val="24"/>
          <w:szCs w:val="24"/>
        </w:rPr>
        <w:t>- házszámozás és azok változásainak megállapítása</w:t>
      </w:r>
    </w:p>
    <w:p w:rsidR="00043130" w:rsidRPr="00F61507" w:rsidRDefault="00043130" w:rsidP="00043130">
      <w:pPr>
        <w:jc w:val="both"/>
        <w:rPr>
          <w:sz w:val="24"/>
          <w:szCs w:val="24"/>
        </w:rPr>
        <w:sectPr w:rsidR="00043130" w:rsidRPr="00F61507" w:rsidSect="00043130">
          <w:pgSz w:w="11907" w:h="16840" w:code="9"/>
          <w:pgMar w:top="1134" w:right="907" w:bottom="1134" w:left="907" w:header="709" w:footer="709" w:gutter="0"/>
          <w:cols w:space="708" w:equalWidth="0">
            <w:col w:w="10092" w:space="708"/>
          </w:cols>
        </w:sectPr>
      </w:pPr>
    </w:p>
    <w:p w:rsidR="00043130" w:rsidRPr="00F61507" w:rsidRDefault="00043130" w:rsidP="00043130">
      <w:pPr>
        <w:jc w:val="both"/>
        <w:rPr>
          <w:sz w:val="24"/>
          <w:szCs w:val="24"/>
        </w:rPr>
      </w:pPr>
    </w:p>
    <w:p w:rsidR="00043130" w:rsidRPr="00F61507" w:rsidRDefault="00043130" w:rsidP="00043130">
      <w:pPr>
        <w:pStyle w:val="Cmsor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F61507">
        <w:rPr>
          <w:rFonts w:ascii="Times New Roman" w:hAnsi="Times New Roman" w:cs="Times New Roman"/>
          <w:sz w:val="24"/>
          <w:szCs w:val="24"/>
        </w:rPr>
        <w:t>2. melléklet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043130" w:rsidRPr="00F61507" w:rsidRDefault="00043130" w:rsidP="00043130">
      <w:pPr>
        <w:jc w:val="center"/>
        <w:rPr>
          <w:b/>
          <w:bCs/>
          <w:sz w:val="24"/>
          <w:szCs w:val="24"/>
        </w:rPr>
      </w:pPr>
      <w:proofErr w:type="gramStart"/>
      <w:r w:rsidRPr="00F61507">
        <w:rPr>
          <w:b/>
          <w:bCs/>
          <w:sz w:val="24"/>
          <w:szCs w:val="24"/>
        </w:rPr>
        <w:t>a</w:t>
      </w:r>
      <w:proofErr w:type="gramEnd"/>
      <w:r w:rsidRPr="00F61507">
        <w:rPr>
          <w:b/>
          <w:bCs/>
          <w:sz w:val="24"/>
          <w:szCs w:val="24"/>
        </w:rPr>
        <w:t xml:space="preserve"> Képviselő-testület és szervei Szervezeti és Működési Szabályzatáról szóló</w:t>
      </w:r>
    </w:p>
    <w:p w:rsidR="00043130" w:rsidRPr="00F61507" w:rsidRDefault="00043130" w:rsidP="00043130">
      <w:pPr>
        <w:jc w:val="center"/>
        <w:rPr>
          <w:sz w:val="24"/>
          <w:szCs w:val="24"/>
        </w:rPr>
      </w:pPr>
      <w:r w:rsidRPr="00F61507">
        <w:rPr>
          <w:b/>
          <w:bCs/>
          <w:sz w:val="24"/>
          <w:szCs w:val="24"/>
        </w:rPr>
        <w:t>12/2011. (V.31.) önkormányzati rendelethez</w:t>
      </w:r>
    </w:p>
    <w:p w:rsidR="00043130" w:rsidRPr="00F61507" w:rsidRDefault="00043130" w:rsidP="00043130">
      <w:pPr>
        <w:jc w:val="both"/>
        <w:rPr>
          <w:b/>
          <w:sz w:val="24"/>
          <w:szCs w:val="24"/>
        </w:rPr>
      </w:pPr>
    </w:p>
    <w:p w:rsidR="00043130" w:rsidRPr="00F61507" w:rsidRDefault="00043130" w:rsidP="00043130">
      <w:pPr>
        <w:jc w:val="center"/>
        <w:rPr>
          <w:b/>
          <w:sz w:val="24"/>
          <w:szCs w:val="24"/>
        </w:rPr>
      </w:pPr>
      <w:r w:rsidRPr="00F61507">
        <w:rPr>
          <w:b/>
          <w:sz w:val="24"/>
          <w:szCs w:val="24"/>
        </w:rPr>
        <w:t>Dunabogdány Község Önkormányzata alaptevékenységének kormányzati funkciók szerinti besorolása</w:t>
      </w:r>
    </w:p>
    <w:p w:rsidR="00043130" w:rsidRPr="00F61507" w:rsidRDefault="00043130" w:rsidP="00043130">
      <w:pPr>
        <w:jc w:val="both"/>
        <w:rPr>
          <w:b/>
          <w:sz w:val="24"/>
          <w:szCs w:val="24"/>
        </w:rPr>
      </w:pPr>
    </w:p>
    <w:p w:rsidR="00043130" w:rsidRPr="00F61507" w:rsidRDefault="00043130" w:rsidP="00043130">
      <w:pPr>
        <w:jc w:val="both"/>
        <w:rPr>
          <w:b/>
          <w:sz w:val="24"/>
          <w:szCs w:val="24"/>
        </w:rPr>
      </w:pPr>
      <w:r w:rsidRPr="00F61507">
        <w:rPr>
          <w:b/>
          <w:sz w:val="24"/>
          <w:szCs w:val="24"/>
        </w:rPr>
        <w:t>1.)</w:t>
      </w:r>
    </w:p>
    <w:p w:rsidR="00043130" w:rsidRPr="00F61507" w:rsidRDefault="00043130" w:rsidP="00043130">
      <w:pPr>
        <w:jc w:val="both"/>
        <w:rPr>
          <w:b/>
          <w:sz w:val="24"/>
          <w:szCs w:val="24"/>
        </w:rPr>
      </w:pPr>
      <w:r w:rsidRPr="00F61507">
        <w:rPr>
          <w:b/>
          <w:sz w:val="24"/>
          <w:szCs w:val="24"/>
        </w:rPr>
        <w:t>KSH statisztikai számjel</w:t>
      </w:r>
      <w:r w:rsidRPr="00F61507">
        <w:rPr>
          <w:sz w:val="24"/>
          <w:szCs w:val="24"/>
        </w:rPr>
        <w:t>:</w:t>
      </w:r>
      <w:r w:rsidRPr="00F61507">
        <w:rPr>
          <w:sz w:val="24"/>
          <w:szCs w:val="24"/>
        </w:rPr>
        <w:tab/>
        <w:t>15730985-8411-321-13</w:t>
      </w:r>
    </w:p>
    <w:p w:rsidR="00043130" w:rsidRPr="00F61507" w:rsidRDefault="00043130" w:rsidP="00043130">
      <w:pPr>
        <w:rPr>
          <w:sz w:val="24"/>
          <w:szCs w:val="24"/>
        </w:rPr>
      </w:pPr>
      <w:r w:rsidRPr="00F61507">
        <w:rPr>
          <w:b/>
          <w:sz w:val="24"/>
          <w:szCs w:val="24"/>
        </w:rPr>
        <w:t>PIR szám:</w:t>
      </w:r>
      <w:r w:rsidRPr="00F61507">
        <w:rPr>
          <w:sz w:val="24"/>
          <w:szCs w:val="24"/>
        </w:rPr>
        <w:t xml:space="preserve"> (törzsszám):</w:t>
      </w:r>
      <w:r w:rsidRPr="00F61507">
        <w:rPr>
          <w:sz w:val="24"/>
          <w:szCs w:val="24"/>
        </w:rPr>
        <w:tab/>
        <w:t>730985</w:t>
      </w:r>
    </w:p>
    <w:p w:rsidR="00043130" w:rsidRPr="00F61507" w:rsidRDefault="00043130" w:rsidP="00043130">
      <w:pPr>
        <w:rPr>
          <w:sz w:val="24"/>
          <w:szCs w:val="24"/>
        </w:rPr>
      </w:pPr>
      <w:r w:rsidRPr="00F61507">
        <w:rPr>
          <w:b/>
          <w:sz w:val="24"/>
          <w:szCs w:val="24"/>
        </w:rPr>
        <w:t>Adószám:</w:t>
      </w:r>
      <w:r w:rsidRPr="00F61507">
        <w:rPr>
          <w:sz w:val="24"/>
          <w:szCs w:val="24"/>
        </w:rPr>
        <w:tab/>
      </w:r>
      <w:r w:rsidRPr="00F61507">
        <w:rPr>
          <w:sz w:val="24"/>
          <w:szCs w:val="24"/>
        </w:rPr>
        <w:tab/>
      </w:r>
      <w:r w:rsidRPr="00F61507">
        <w:rPr>
          <w:sz w:val="24"/>
          <w:szCs w:val="24"/>
        </w:rPr>
        <w:tab/>
        <w:t>15730985-2-13</w:t>
      </w:r>
    </w:p>
    <w:p w:rsidR="00043130" w:rsidRPr="00F61507" w:rsidRDefault="00043130" w:rsidP="00043130">
      <w:pPr>
        <w:rPr>
          <w:sz w:val="24"/>
          <w:szCs w:val="24"/>
        </w:rPr>
      </w:pPr>
      <w:r w:rsidRPr="00F61507">
        <w:rPr>
          <w:b/>
          <w:sz w:val="24"/>
          <w:szCs w:val="24"/>
        </w:rPr>
        <w:t>ÁHTI azonosító</w:t>
      </w:r>
      <w:r w:rsidRPr="00F61507">
        <w:rPr>
          <w:sz w:val="24"/>
          <w:szCs w:val="24"/>
        </w:rPr>
        <w:t>:</w:t>
      </w:r>
      <w:r w:rsidRPr="00F61507">
        <w:rPr>
          <w:sz w:val="24"/>
          <w:szCs w:val="24"/>
        </w:rPr>
        <w:tab/>
      </w:r>
      <w:r w:rsidRPr="00F61507">
        <w:rPr>
          <w:sz w:val="24"/>
          <w:szCs w:val="24"/>
        </w:rPr>
        <w:tab/>
        <w:t>740571</w:t>
      </w:r>
    </w:p>
    <w:p w:rsidR="00043130" w:rsidRPr="00F61507" w:rsidRDefault="00043130" w:rsidP="00043130">
      <w:pPr>
        <w:rPr>
          <w:sz w:val="24"/>
          <w:szCs w:val="24"/>
        </w:rPr>
      </w:pPr>
      <w:r w:rsidRPr="00F61507">
        <w:rPr>
          <w:b/>
          <w:sz w:val="24"/>
          <w:szCs w:val="24"/>
        </w:rPr>
        <w:t>Pénzforgalmi számla</w:t>
      </w:r>
      <w:r w:rsidRPr="00F61507">
        <w:rPr>
          <w:sz w:val="24"/>
          <w:szCs w:val="24"/>
        </w:rPr>
        <w:t>:</w:t>
      </w:r>
      <w:r w:rsidRPr="00F61507">
        <w:rPr>
          <w:sz w:val="24"/>
          <w:szCs w:val="24"/>
        </w:rPr>
        <w:tab/>
        <w:t>11742087-15393685</w:t>
      </w:r>
    </w:p>
    <w:p w:rsidR="00043130" w:rsidRPr="00F61507" w:rsidRDefault="00043130" w:rsidP="00043130">
      <w:pPr>
        <w:tabs>
          <w:tab w:val="left" w:pos="7377"/>
        </w:tabs>
        <w:jc w:val="both"/>
        <w:rPr>
          <w:sz w:val="24"/>
          <w:szCs w:val="24"/>
        </w:rPr>
      </w:pPr>
    </w:p>
    <w:p w:rsidR="00043130" w:rsidRPr="00F61507" w:rsidRDefault="00043130" w:rsidP="00043130">
      <w:pPr>
        <w:tabs>
          <w:tab w:val="left" w:pos="7377"/>
        </w:tabs>
        <w:jc w:val="both"/>
        <w:rPr>
          <w:b/>
          <w:sz w:val="24"/>
          <w:szCs w:val="24"/>
        </w:rPr>
      </w:pPr>
      <w:r w:rsidRPr="00F61507">
        <w:rPr>
          <w:b/>
          <w:sz w:val="24"/>
          <w:szCs w:val="24"/>
        </w:rPr>
        <w:t>2.) Ellátandó alaptevékenységek:</w:t>
      </w:r>
    </w:p>
    <w:p w:rsidR="00043130" w:rsidRPr="00F61507" w:rsidRDefault="00043130" w:rsidP="00043130">
      <w:pPr>
        <w:pStyle w:val="NormlWeb"/>
        <w:spacing w:before="0" w:beforeAutospacing="0" w:after="0" w:afterAutospacing="0"/>
        <w:ind w:right="150"/>
        <w:jc w:val="both"/>
        <w:outlineLvl w:val="0"/>
        <w:rPr>
          <w:bCs/>
        </w:rPr>
      </w:pPr>
    </w:p>
    <w:p w:rsidR="00043130" w:rsidRPr="00F61507" w:rsidRDefault="00043130" w:rsidP="00043130">
      <w:pPr>
        <w:pStyle w:val="Default"/>
        <w:ind w:firstLine="708"/>
        <w:jc w:val="both"/>
        <w:rPr>
          <w:rFonts w:ascii="Times New Roman" w:hAnsi="Times New Roman" w:cs="Times New Roman"/>
          <w:iCs/>
          <w:color w:val="auto"/>
        </w:rPr>
      </w:pPr>
      <w:r w:rsidRPr="00F61507">
        <w:rPr>
          <w:rFonts w:ascii="Times New Roman" w:hAnsi="Times New Roman" w:cs="Times New Roman"/>
          <w:iCs/>
          <w:color w:val="auto"/>
        </w:rPr>
        <w:t>011220</w:t>
      </w:r>
      <w:r w:rsidRPr="00F61507">
        <w:rPr>
          <w:rFonts w:ascii="Times New Roman" w:hAnsi="Times New Roman" w:cs="Times New Roman"/>
          <w:iCs/>
          <w:color w:val="auto"/>
        </w:rPr>
        <w:tab/>
        <w:t>Adó-, vám- és jövedéki igazgatás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013320</w:t>
      </w:r>
      <w:r w:rsidRPr="00F61507">
        <w:rPr>
          <w:iCs/>
          <w:sz w:val="24"/>
          <w:szCs w:val="24"/>
        </w:rPr>
        <w:tab/>
        <w:t xml:space="preserve">Köztemető-fenntartás és </w:t>
      </w:r>
      <w:proofErr w:type="spellStart"/>
      <w:r w:rsidRPr="00F61507">
        <w:rPr>
          <w:iCs/>
          <w:sz w:val="24"/>
          <w:szCs w:val="24"/>
        </w:rPr>
        <w:t>-működtetés</w:t>
      </w:r>
      <w:proofErr w:type="spellEnd"/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013350</w:t>
      </w:r>
      <w:r w:rsidRPr="00F61507">
        <w:rPr>
          <w:iCs/>
          <w:sz w:val="24"/>
          <w:szCs w:val="24"/>
        </w:rPr>
        <w:tab/>
        <w:t>Az önkormányzati vagyonnal való gazdálkodással kapcsolatos feladatok</w:t>
      </w:r>
    </w:p>
    <w:p w:rsidR="00043130" w:rsidRPr="00F61507" w:rsidRDefault="00043130" w:rsidP="00043130">
      <w:pPr>
        <w:ind w:left="2124" w:hanging="1416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013360</w:t>
      </w:r>
      <w:r w:rsidRPr="00F61507">
        <w:rPr>
          <w:iCs/>
          <w:sz w:val="24"/>
          <w:szCs w:val="24"/>
        </w:rPr>
        <w:tab/>
        <w:t>Más szerv részére végzett pénzügyi-gazdálkodási, üzemeltetési, egyéb szolgáltatások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016080</w:t>
      </w:r>
      <w:r w:rsidRPr="00F61507">
        <w:rPr>
          <w:iCs/>
          <w:sz w:val="24"/>
          <w:szCs w:val="24"/>
        </w:rPr>
        <w:tab/>
        <w:t>Kiemelt állami és önkormányzati rendezvények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031030</w:t>
      </w:r>
      <w:r w:rsidRPr="00F61507">
        <w:rPr>
          <w:iCs/>
          <w:sz w:val="24"/>
          <w:szCs w:val="24"/>
        </w:rPr>
        <w:tab/>
        <w:t>Közterület rendjének fenntartása</w:t>
      </w:r>
    </w:p>
    <w:p w:rsidR="00043130" w:rsidRPr="00F61507" w:rsidRDefault="00043130" w:rsidP="00043130">
      <w:pPr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ab/>
        <w:t>032060</w:t>
      </w:r>
      <w:r w:rsidRPr="00F61507">
        <w:rPr>
          <w:iCs/>
          <w:sz w:val="24"/>
          <w:szCs w:val="24"/>
        </w:rPr>
        <w:tab/>
        <w:t>Polgári védelmi stratégiai tartalékok tárolása, kezelése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041140</w:t>
      </w:r>
      <w:r w:rsidRPr="00F61507">
        <w:rPr>
          <w:iCs/>
          <w:sz w:val="24"/>
          <w:szCs w:val="24"/>
        </w:rPr>
        <w:tab/>
        <w:t>Területfejlesztés igazgatása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045120</w:t>
      </w:r>
      <w:r w:rsidRPr="00F61507">
        <w:rPr>
          <w:iCs/>
          <w:sz w:val="24"/>
          <w:szCs w:val="24"/>
        </w:rPr>
        <w:tab/>
        <w:t>Út, autópálya építése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045160</w:t>
      </w:r>
      <w:r w:rsidRPr="00F61507">
        <w:rPr>
          <w:iCs/>
          <w:sz w:val="24"/>
          <w:szCs w:val="24"/>
        </w:rPr>
        <w:tab/>
        <w:t>Közutak, hidak, alagutak üzemeltetése, fenntartása</w:t>
      </w:r>
    </w:p>
    <w:p w:rsidR="00043130" w:rsidRPr="00F61507" w:rsidRDefault="00043130" w:rsidP="00043130">
      <w:pPr>
        <w:ind w:firstLine="708"/>
        <w:jc w:val="both"/>
        <w:rPr>
          <w:i/>
          <w:iCs/>
          <w:sz w:val="24"/>
          <w:szCs w:val="24"/>
        </w:rPr>
      </w:pPr>
      <w:r w:rsidRPr="00F61507">
        <w:rPr>
          <w:i/>
          <w:iCs/>
          <w:sz w:val="24"/>
          <w:szCs w:val="24"/>
        </w:rPr>
        <w:t>045161</w:t>
      </w:r>
      <w:r w:rsidRPr="00F61507">
        <w:rPr>
          <w:i/>
          <w:iCs/>
          <w:sz w:val="24"/>
          <w:szCs w:val="24"/>
        </w:rPr>
        <w:tab/>
        <w:t>Kerékpárutak üzemeltetése, fenntartása</w:t>
      </w:r>
    </w:p>
    <w:p w:rsidR="00043130" w:rsidRPr="00F61507" w:rsidRDefault="00043130" w:rsidP="00043130">
      <w:pPr>
        <w:ind w:firstLine="708"/>
        <w:jc w:val="both"/>
        <w:rPr>
          <w:i/>
          <w:iCs/>
          <w:sz w:val="24"/>
          <w:szCs w:val="24"/>
        </w:rPr>
      </w:pPr>
      <w:r w:rsidRPr="00F61507">
        <w:rPr>
          <w:i/>
          <w:iCs/>
          <w:sz w:val="24"/>
          <w:szCs w:val="24"/>
        </w:rPr>
        <w:t>047120</w:t>
      </w:r>
      <w:r w:rsidRPr="00F61507">
        <w:rPr>
          <w:i/>
          <w:iCs/>
          <w:sz w:val="24"/>
          <w:szCs w:val="24"/>
        </w:rPr>
        <w:tab/>
        <w:t>Piac üzemeltetése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047410</w:t>
      </w:r>
      <w:r w:rsidRPr="00F61507">
        <w:rPr>
          <w:iCs/>
          <w:sz w:val="24"/>
          <w:szCs w:val="24"/>
        </w:rPr>
        <w:tab/>
        <w:t>Ár- és belvízvédelemmel összefüggő tevékenységek</w:t>
      </w:r>
    </w:p>
    <w:p w:rsidR="00043130" w:rsidRPr="00F61507" w:rsidRDefault="00043130" w:rsidP="00043130">
      <w:pPr>
        <w:pStyle w:val="Default"/>
        <w:ind w:left="2124" w:hanging="1416"/>
        <w:jc w:val="both"/>
        <w:rPr>
          <w:rFonts w:ascii="Times New Roman" w:hAnsi="Times New Roman" w:cs="Times New Roman"/>
          <w:iCs/>
          <w:color w:val="auto"/>
        </w:rPr>
      </w:pPr>
      <w:r w:rsidRPr="00F61507">
        <w:rPr>
          <w:rFonts w:ascii="Times New Roman" w:hAnsi="Times New Roman" w:cs="Times New Roman"/>
          <w:iCs/>
          <w:color w:val="auto"/>
        </w:rPr>
        <w:t>051030</w:t>
      </w:r>
      <w:r w:rsidRPr="00F61507">
        <w:rPr>
          <w:rFonts w:ascii="Times New Roman" w:hAnsi="Times New Roman" w:cs="Times New Roman"/>
          <w:iCs/>
          <w:color w:val="auto"/>
        </w:rPr>
        <w:tab/>
        <w:t>Nem veszélyes (települési) hulladék vegyes (ömlesztett) begyűjtése, szállítása, átrakása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052020</w:t>
      </w:r>
      <w:r w:rsidRPr="00F61507">
        <w:rPr>
          <w:iCs/>
          <w:sz w:val="24"/>
          <w:szCs w:val="24"/>
        </w:rPr>
        <w:tab/>
        <w:t>Szennyvíz gyűjtése, tisztítása, elhelyezése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061020</w:t>
      </w:r>
      <w:r w:rsidRPr="00F61507">
        <w:rPr>
          <w:iCs/>
          <w:sz w:val="24"/>
          <w:szCs w:val="24"/>
        </w:rPr>
        <w:tab/>
        <w:t>Lakóépület építése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063020</w:t>
      </w:r>
      <w:r w:rsidRPr="00F61507">
        <w:rPr>
          <w:iCs/>
          <w:sz w:val="24"/>
          <w:szCs w:val="24"/>
        </w:rPr>
        <w:tab/>
        <w:t xml:space="preserve">Víztermelés, </w:t>
      </w:r>
      <w:proofErr w:type="spellStart"/>
      <w:r w:rsidRPr="00F61507">
        <w:rPr>
          <w:iCs/>
          <w:sz w:val="24"/>
          <w:szCs w:val="24"/>
        </w:rPr>
        <w:t>-kezelés</w:t>
      </w:r>
      <w:proofErr w:type="spellEnd"/>
      <w:r w:rsidRPr="00F61507">
        <w:rPr>
          <w:iCs/>
          <w:sz w:val="24"/>
          <w:szCs w:val="24"/>
        </w:rPr>
        <w:t xml:space="preserve">, </w:t>
      </w:r>
      <w:proofErr w:type="spellStart"/>
      <w:r w:rsidRPr="00F61507">
        <w:rPr>
          <w:iCs/>
          <w:sz w:val="24"/>
          <w:szCs w:val="24"/>
        </w:rPr>
        <w:t>-ellátás</w:t>
      </w:r>
      <w:proofErr w:type="spellEnd"/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064010</w:t>
      </w:r>
      <w:r w:rsidRPr="00F61507">
        <w:rPr>
          <w:iCs/>
          <w:sz w:val="24"/>
          <w:szCs w:val="24"/>
        </w:rPr>
        <w:tab/>
        <w:t>Közvilágítás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066010</w:t>
      </w:r>
      <w:r w:rsidRPr="00F61507">
        <w:rPr>
          <w:iCs/>
          <w:sz w:val="24"/>
          <w:szCs w:val="24"/>
        </w:rPr>
        <w:tab/>
        <w:t>Zöldterület-kezelés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066020</w:t>
      </w:r>
      <w:r w:rsidRPr="00F61507">
        <w:rPr>
          <w:iCs/>
          <w:sz w:val="24"/>
          <w:szCs w:val="24"/>
        </w:rPr>
        <w:tab/>
        <w:t>Város-, községgazdálkodási egyéb szolgáltatások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072111</w:t>
      </w:r>
      <w:r w:rsidRPr="00F61507">
        <w:rPr>
          <w:iCs/>
          <w:sz w:val="24"/>
          <w:szCs w:val="24"/>
        </w:rPr>
        <w:tab/>
        <w:t>Háziorvosi alapellátás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072112</w:t>
      </w:r>
      <w:r w:rsidRPr="00F61507">
        <w:rPr>
          <w:iCs/>
          <w:sz w:val="24"/>
          <w:szCs w:val="24"/>
        </w:rPr>
        <w:tab/>
        <w:t>Háziorvosi ügyeleti ellátás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072311</w:t>
      </w:r>
      <w:r w:rsidRPr="00F61507">
        <w:rPr>
          <w:iCs/>
          <w:sz w:val="24"/>
          <w:szCs w:val="24"/>
        </w:rPr>
        <w:tab/>
        <w:t>Fogorvosi alapellátás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074011</w:t>
      </w:r>
      <w:r w:rsidRPr="00F61507">
        <w:rPr>
          <w:iCs/>
          <w:sz w:val="24"/>
          <w:szCs w:val="24"/>
        </w:rPr>
        <w:tab/>
        <w:t>Foglalkozás-egészségügyi alapellátás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074031</w:t>
      </w:r>
      <w:r w:rsidRPr="00F61507">
        <w:rPr>
          <w:iCs/>
          <w:sz w:val="24"/>
          <w:szCs w:val="24"/>
        </w:rPr>
        <w:tab/>
        <w:t>Család és nővédelmi egészségügyi gondozás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076062</w:t>
      </w:r>
      <w:r w:rsidRPr="00F61507">
        <w:rPr>
          <w:iCs/>
          <w:sz w:val="24"/>
          <w:szCs w:val="24"/>
        </w:rPr>
        <w:tab/>
        <w:t>Település-egészségügyi feladatok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081030</w:t>
      </w:r>
      <w:r w:rsidRPr="00F61507">
        <w:rPr>
          <w:iCs/>
          <w:sz w:val="24"/>
          <w:szCs w:val="24"/>
        </w:rPr>
        <w:tab/>
        <w:t>Sportlétesítmények, edzőtáborok működtetése és fejlesztése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081041</w:t>
      </w:r>
      <w:r w:rsidRPr="00F61507">
        <w:rPr>
          <w:iCs/>
          <w:sz w:val="24"/>
          <w:szCs w:val="24"/>
        </w:rPr>
        <w:tab/>
        <w:t>Versenysport- és utánpótlás-nevelési tevékenység és támogatása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081045</w:t>
      </w:r>
      <w:r w:rsidRPr="00F61507">
        <w:rPr>
          <w:iCs/>
          <w:sz w:val="24"/>
          <w:szCs w:val="24"/>
        </w:rPr>
        <w:tab/>
        <w:t>Szabadidősport- (rekreációs sport-) tevékenység és támogatása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081061</w:t>
      </w:r>
      <w:r w:rsidRPr="00F61507">
        <w:rPr>
          <w:iCs/>
          <w:sz w:val="24"/>
          <w:szCs w:val="24"/>
        </w:rPr>
        <w:tab/>
        <w:t>Szabadidős park, fürdő és strandszolgáltatás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083030</w:t>
      </w:r>
      <w:r w:rsidRPr="00F61507">
        <w:rPr>
          <w:iCs/>
          <w:sz w:val="24"/>
          <w:szCs w:val="24"/>
        </w:rPr>
        <w:tab/>
        <w:t>Egyéb kiadói tevékenység</w:t>
      </w:r>
    </w:p>
    <w:p w:rsidR="00043130" w:rsidRPr="00F61507" w:rsidRDefault="00043130" w:rsidP="00043130">
      <w:pPr>
        <w:ind w:firstLine="708"/>
        <w:jc w:val="both"/>
        <w:rPr>
          <w:i/>
          <w:iCs/>
          <w:sz w:val="24"/>
          <w:szCs w:val="24"/>
        </w:rPr>
      </w:pPr>
      <w:r w:rsidRPr="00481E3E">
        <w:rPr>
          <w:rFonts w:eastAsiaTheme="minorHAnsi"/>
          <w:i/>
          <w:sz w:val="24"/>
          <w:szCs w:val="24"/>
          <w:lang w:eastAsia="en-US"/>
        </w:rPr>
        <w:t>096015</w:t>
      </w:r>
      <w:r w:rsidRPr="00F61507">
        <w:rPr>
          <w:rFonts w:eastAsiaTheme="minorHAnsi"/>
          <w:i/>
          <w:sz w:val="24"/>
          <w:szCs w:val="24"/>
          <w:lang w:eastAsia="en-US"/>
        </w:rPr>
        <w:tab/>
      </w:r>
      <w:r w:rsidRPr="00481E3E">
        <w:rPr>
          <w:rFonts w:eastAsiaTheme="minorHAnsi"/>
          <w:i/>
          <w:sz w:val="24"/>
          <w:szCs w:val="24"/>
          <w:lang w:eastAsia="en-US"/>
        </w:rPr>
        <w:t>Gyermekétkeztetés köznevelési intézményben</w:t>
      </w:r>
    </w:p>
    <w:p w:rsidR="00043130" w:rsidRPr="00481E3E" w:rsidRDefault="00043130" w:rsidP="00043130">
      <w:pPr>
        <w:ind w:firstLine="708"/>
        <w:jc w:val="both"/>
        <w:rPr>
          <w:i/>
          <w:iCs/>
          <w:sz w:val="24"/>
          <w:szCs w:val="24"/>
        </w:rPr>
      </w:pPr>
      <w:r w:rsidRPr="00481E3E">
        <w:rPr>
          <w:rFonts w:eastAsiaTheme="minorHAnsi"/>
          <w:i/>
          <w:sz w:val="24"/>
          <w:szCs w:val="24"/>
          <w:lang w:eastAsia="en-US"/>
        </w:rPr>
        <w:lastRenderedPageBreak/>
        <w:t>096025</w:t>
      </w:r>
      <w:r w:rsidRPr="00F61507">
        <w:rPr>
          <w:rFonts w:eastAsiaTheme="minorHAnsi"/>
          <w:i/>
          <w:sz w:val="24"/>
          <w:szCs w:val="24"/>
          <w:lang w:eastAsia="en-US"/>
        </w:rPr>
        <w:tab/>
      </w:r>
      <w:r w:rsidRPr="00481E3E">
        <w:rPr>
          <w:rFonts w:eastAsiaTheme="minorHAnsi"/>
          <w:i/>
          <w:sz w:val="24"/>
          <w:szCs w:val="24"/>
          <w:lang w:eastAsia="en-US"/>
        </w:rPr>
        <w:t>Munkahelyi étkeztetés köznevelési intézményben</w:t>
      </w:r>
    </w:p>
    <w:p w:rsidR="00043130" w:rsidRPr="00F61507" w:rsidRDefault="00043130" w:rsidP="00043130">
      <w:pPr>
        <w:pStyle w:val="Default"/>
        <w:ind w:firstLine="708"/>
        <w:jc w:val="both"/>
        <w:rPr>
          <w:rFonts w:ascii="Times New Roman" w:hAnsi="Times New Roman" w:cs="Times New Roman"/>
          <w:iCs/>
          <w:color w:val="auto"/>
        </w:rPr>
      </w:pPr>
      <w:r w:rsidRPr="00F61507">
        <w:rPr>
          <w:rFonts w:ascii="Times New Roman" w:hAnsi="Times New Roman" w:cs="Times New Roman"/>
          <w:iCs/>
          <w:color w:val="auto"/>
        </w:rPr>
        <w:t>086030</w:t>
      </w:r>
      <w:r w:rsidRPr="00F61507">
        <w:rPr>
          <w:rFonts w:ascii="Times New Roman" w:hAnsi="Times New Roman" w:cs="Times New Roman"/>
          <w:iCs/>
          <w:color w:val="auto"/>
        </w:rPr>
        <w:tab/>
        <w:t>Nemzetközi kulturális együttműködés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041231</w:t>
      </w:r>
      <w:r w:rsidRPr="00F61507">
        <w:rPr>
          <w:iCs/>
          <w:sz w:val="24"/>
          <w:szCs w:val="24"/>
        </w:rPr>
        <w:tab/>
        <w:t>Rövid időtartamú közfoglalkoztatás</w:t>
      </w:r>
    </w:p>
    <w:p w:rsidR="00043130" w:rsidRPr="00F61507" w:rsidRDefault="00043130" w:rsidP="00043130">
      <w:pPr>
        <w:pStyle w:val="Default"/>
        <w:ind w:firstLine="708"/>
        <w:jc w:val="both"/>
        <w:rPr>
          <w:rFonts w:ascii="Times New Roman" w:hAnsi="Times New Roman" w:cs="Times New Roman"/>
          <w:iCs/>
          <w:color w:val="auto"/>
        </w:rPr>
      </w:pPr>
      <w:r w:rsidRPr="00F61507">
        <w:rPr>
          <w:rFonts w:ascii="Times New Roman" w:hAnsi="Times New Roman" w:cs="Times New Roman"/>
          <w:iCs/>
          <w:color w:val="auto"/>
        </w:rPr>
        <w:t>041232</w:t>
      </w:r>
      <w:r w:rsidRPr="00F61507">
        <w:rPr>
          <w:rFonts w:ascii="Times New Roman" w:hAnsi="Times New Roman" w:cs="Times New Roman"/>
          <w:iCs/>
          <w:color w:val="auto"/>
        </w:rPr>
        <w:tab/>
        <w:t>Start-munka program – Téli közfoglalkoztatás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041233</w:t>
      </w:r>
      <w:r w:rsidRPr="00F61507">
        <w:rPr>
          <w:iCs/>
          <w:sz w:val="24"/>
          <w:szCs w:val="24"/>
        </w:rPr>
        <w:tab/>
        <w:t>Hosszabb időtartamú közfoglalkoztatás</w:t>
      </w:r>
    </w:p>
    <w:p w:rsidR="00043130" w:rsidRPr="00F61507" w:rsidRDefault="00043130" w:rsidP="00043130">
      <w:pPr>
        <w:pStyle w:val="Default"/>
        <w:ind w:firstLine="708"/>
        <w:jc w:val="both"/>
        <w:rPr>
          <w:rFonts w:ascii="Times New Roman" w:hAnsi="Times New Roman" w:cs="Times New Roman"/>
          <w:iCs/>
          <w:color w:val="auto"/>
        </w:rPr>
      </w:pPr>
      <w:r w:rsidRPr="00F61507">
        <w:rPr>
          <w:rFonts w:ascii="Times New Roman" w:hAnsi="Times New Roman" w:cs="Times New Roman"/>
          <w:iCs/>
          <w:color w:val="auto"/>
        </w:rPr>
        <w:t>084020</w:t>
      </w:r>
      <w:r w:rsidRPr="00F61507">
        <w:rPr>
          <w:rFonts w:ascii="Times New Roman" w:hAnsi="Times New Roman" w:cs="Times New Roman"/>
          <w:iCs/>
          <w:color w:val="auto"/>
        </w:rPr>
        <w:tab/>
        <w:t>Nemzetiségi közfeladatok ellátása és támogatása</w:t>
      </w:r>
    </w:p>
    <w:p w:rsidR="00043130" w:rsidRPr="00F61507" w:rsidRDefault="00043130" w:rsidP="00043130">
      <w:pPr>
        <w:ind w:firstLine="708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082092</w:t>
      </w:r>
      <w:r w:rsidRPr="00F61507">
        <w:rPr>
          <w:iCs/>
          <w:sz w:val="24"/>
          <w:szCs w:val="24"/>
        </w:rPr>
        <w:tab/>
        <w:t>Közművelődés – hagyományos közösségi kulturális értékek gondozása</w:t>
      </w:r>
    </w:p>
    <w:p w:rsidR="00043130" w:rsidRPr="00F61507" w:rsidRDefault="00043130" w:rsidP="00043130">
      <w:pPr>
        <w:ind w:left="2127" w:hanging="1419"/>
        <w:jc w:val="both"/>
        <w:rPr>
          <w:iCs/>
          <w:sz w:val="24"/>
          <w:szCs w:val="24"/>
        </w:rPr>
      </w:pPr>
      <w:r w:rsidRPr="00F61507">
        <w:rPr>
          <w:iCs/>
          <w:sz w:val="24"/>
          <w:szCs w:val="24"/>
        </w:rPr>
        <w:t>091220</w:t>
      </w:r>
      <w:r w:rsidRPr="00F61507">
        <w:rPr>
          <w:iCs/>
          <w:sz w:val="24"/>
          <w:szCs w:val="24"/>
        </w:rPr>
        <w:tab/>
      </w:r>
      <w:r w:rsidRPr="00F61507">
        <w:rPr>
          <w:rFonts w:eastAsia="Calibri"/>
          <w:sz w:val="24"/>
          <w:szCs w:val="24"/>
        </w:rPr>
        <w:t>Köznevelési intézmény 1-4. évfolyamán tanulók nevelésével, oktatásával összefüggő működtetési feladatok</w:t>
      </w:r>
    </w:p>
    <w:p w:rsidR="00043130" w:rsidRPr="00F61507" w:rsidRDefault="00043130" w:rsidP="00043130">
      <w:pPr>
        <w:ind w:firstLine="708"/>
        <w:jc w:val="both"/>
        <w:rPr>
          <w:rFonts w:eastAsia="Calibri"/>
          <w:sz w:val="24"/>
          <w:szCs w:val="24"/>
        </w:rPr>
      </w:pPr>
      <w:r w:rsidRPr="00F61507">
        <w:rPr>
          <w:iCs/>
          <w:sz w:val="24"/>
          <w:szCs w:val="24"/>
        </w:rPr>
        <w:t>091250</w:t>
      </w:r>
      <w:r w:rsidRPr="00F61507">
        <w:rPr>
          <w:iCs/>
          <w:sz w:val="24"/>
          <w:szCs w:val="24"/>
        </w:rPr>
        <w:tab/>
      </w:r>
      <w:r w:rsidRPr="00F61507">
        <w:rPr>
          <w:rFonts w:eastAsia="Calibri"/>
          <w:sz w:val="24"/>
          <w:szCs w:val="24"/>
        </w:rPr>
        <w:t>Alapfokú művészetoktatással összefüggő működtetési feladatok</w:t>
      </w:r>
    </w:p>
    <w:p w:rsidR="00043130" w:rsidRPr="000D0021" w:rsidRDefault="00043130" w:rsidP="00043130">
      <w:pPr>
        <w:ind w:left="2127" w:hanging="1419"/>
        <w:jc w:val="both"/>
        <w:rPr>
          <w:i/>
          <w:iCs/>
          <w:sz w:val="24"/>
          <w:szCs w:val="24"/>
        </w:rPr>
      </w:pPr>
      <w:r w:rsidRPr="000D0021">
        <w:rPr>
          <w:i/>
          <w:iCs/>
          <w:sz w:val="24"/>
          <w:szCs w:val="24"/>
        </w:rPr>
        <w:t>092120</w:t>
      </w:r>
      <w:r w:rsidRPr="000D0021">
        <w:rPr>
          <w:i/>
          <w:iCs/>
          <w:sz w:val="24"/>
          <w:szCs w:val="24"/>
        </w:rPr>
        <w:tab/>
      </w:r>
      <w:r w:rsidRPr="000D0021">
        <w:rPr>
          <w:rFonts w:eastAsia="Calibri"/>
          <w:i/>
          <w:sz w:val="24"/>
          <w:szCs w:val="24"/>
        </w:rPr>
        <w:t>Köznevelési intézmény 5-8. évfolyamán tanulók nevelésével, oktatásával összefüggő működtetési feladatok</w:t>
      </w:r>
    </w:p>
    <w:p w:rsidR="00043130" w:rsidRPr="000D0021" w:rsidRDefault="00043130" w:rsidP="00043130">
      <w:pPr>
        <w:pStyle w:val="NormlWeb"/>
        <w:spacing w:before="0" w:beforeAutospacing="0" w:after="0" w:afterAutospacing="0"/>
        <w:ind w:right="147"/>
        <w:rPr>
          <w:i/>
        </w:rPr>
        <w:sectPr w:rsidR="00043130" w:rsidRPr="000D0021" w:rsidSect="001A689A">
          <w:type w:val="continuous"/>
          <w:pgSz w:w="11905" w:h="16837"/>
          <w:pgMar w:top="1021" w:right="907" w:bottom="1021" w:left="907" w:header="709" w:footer="709" w:gutter="0"/>
          <w:cols w:space="709"/>
          <w:titlePg/>
          <w:docGrid w:linePitch="326"/>
        </w:sectPr>
      </w:pPr>
    </w:p>
    <w:p w:rsidR="00043130" w:rsidRDefault="00043130" w:rsidP="00043130">
      <w:pPr>
        <w:overflowPunct/>
        <w:autoSpaceDE/>
        <w:autoSpaceDN/>
        <w:adjustRight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számú melléklet</w:t>
      </w:r>
    </w:p>
    <w:p w:rsidR="00043130" w:rsidRPr="00ED3340" w:rsidRDefault="00043130" w:rsidP="00043130">
      <w:pPr>
        <w:pStyle w:val="Szvegtrzs2"/>
        <w:rPr>
          <w:b/>
          <w:sz w:val="24"/>
          <w:szCs w:val="24"/>
        </w:rPr>
      </w:pPr>
    </w:p>
    <w:p w:rsidR="00043130" w:rsidRPr="00ED3340" w:rsidRDefault="00043130" w:rsidP="00043130">
      <w:pPr>
        <w:pStyle w:val="Szvegtrzs2"/>
        <w:tabs>
          <w:tab w:val="clear" w:pos="-851"/>
          <w:tab w:val="clear" w:pos="709"/>
          <w:tab w:val="clear" w:pos="851"/>
        </w:tabs>
        <w:ind w:right="27"/>
        <w:jc w:val="center"/>
        <w:rPr>
          <w:b/>
          <w:sz w:val="24"/>
          <w:szCs w:val="24"/>
        </w:rPr>
      </w:pPr>
      <w:r w:rsidRPr="00ED3340">
        <w:rPr>
          <w:b/>
          <w:sz w:val="24"/>
          <w:szCs w:val="24"/>
        </w:rPr>
        <w:t>A belső ellenőrzésről</w:t>
      </w:r>
    </w:p>
    <w:p w:rsidR="00043130" w:rsidRPr="00ED3340" w:rsidRDefault="00043130" w:rsidP="00043130">
      <w:pPr>
        <w:jc w:val="center"/>
        <w:rPr>
          <w:b/>
          <w:bCs/>
          <w:sz w:val="24"/>
          <w:szCs w:val="24"/>
        </w:rPr>
      </w:pP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 xml:space="preserve">Az államháztartásról szóló </w:t>
      </w:r>
      <w:r w:rsidRPr="00ED3340">
        <w:rPr>
          <w:bCs/>
          <w:sz w:val="24"/>
          <w:szCs w:val="24"/>
        </w:rPr>
        <w:t>2011. évi CXCV. törvény (a továbbiakban Áht.), a végrehajtására kiadott 368/2011. (XII. 31.) Korm. rendelet</w:t>
      </w:r>
      <w:r w:rsidRPr="00ED3340">
        <w:rPr>
          <w:sz w:val="24"/>
          <w:szCs w:val="24"/>
        </w:rPr>
        <w:t xml:space="preserve">, továbbá a költségvetési szervek belső kontrollrendszeréről és belső ellenőrzéséről szóló 370/2011. (XII. 31.) Korm. rendelet (a továbbiakban: </w:t>
      </w:r>
      <w:proofErr w:type="spellStart"/>
      <w:r w:rsidRPr="00ED3340">
        <w:rPr>
          <w:sz w:val="24"/>
          <w:szCs w:val="24"/>
        </w:rPr>
        <w:t>Bkr</w:t>
      </w:r>
      <w:proofErr w:type="spellEnd"/>
      <w:r w:rsidRPr="00ED3340">
        <w:rPr>
          <w:sz w:val="24"/>
          <w:szCs w:val="24"/>
        </w:rPr>
        <w:t>.) alapján Dunabogdány Község Önkormányzata és az általa irányított költségvetési szervek és ellátott közfeladatok belső ellenőrzését külső erőforrás bevonásával látja el.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pStyle w:val="Szvegtrzs"/>
        <w:ind w:right="27"/>
        <w:jc w:val="both"/>
        <w:rPr>
          <w:szCs w:val="24"/>
        </w:rPr>
      </w:pPr>
      <w:r w:rsidRPr="00ED3340">
        <w:rPr>
          <w:snapToGrid w:val="0"/>
          <w:szCs w:val="24"/>
        </w:rPr>
        <w:t xml:space="preserve">A belső ellenőrzési tevékenység </w:t>
      </w:r>
      <w:r w:rsidRPr="00ED3340">
        <w:rPr>
          <w:szCs w:val="24"/>
        </w:rPr>
        <w:t>független, belső ellenőri nyilvántartásba vett - s ezt évente igazoló - személy foglalkoztatását biztosító külső erőforrás (szervezet) bevonásával kerül ellátása.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>A feladatellátás részletes szabályait a Belső Ellenőrzési Kézikönyv és a Dunabogdányi Polgármesteri Hivatal Szervezeti és Működési Szabályzatának a költségvetési ellenőrzésről szóló rendelkezései tartalmazzák.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pStyle w:val="NormlWeb"/>
        <w:spacing w:before="0" w:beforeAutospacing="0" w:after="0" w:afterAutospacing="0"/>
        <w:jc w:val="both"/>
      </w:pPr>
      <w:r w:rsidRPr="00ED3340">
        <w:t xml:space="preserve">A Magyarország helyi önkormányzatairól szóló 2011. évi CLXXXIX. törvény alapján a </w:t>
      </w:r>
      <w:r w:rsidRPr="00ED3340">
        <w:rPr>
          <w:b/>
        </w:rPr>
        <w:t>jegyző köteles olyan pénzügyi irányítási és ellenőrzési rendszert</w:t>
      </w:r>
      <w:r w:rsidRPr="00ED3340">
        <w:t xml:space="preserve"> működtetni, mely biztosítja a helyi önkormányzat rendelkezésére álló források szabályszerű, szabályozott, gazdaságos, hatékony és eredményes felhasználását.</w:t>
      </w:r>
    </w:p>
    <w:p w:rsidR="00043130" w:rsidRDefault="00043130" w:rsidP="00043130">
      <w:pPr>
        <w:pStyle w:val="NormlWeb"/>
        <w:spacing w:before="0" w:beforeAutospacing="0" w:after="0" w:afterAutospacing="0"/>
        <w:jc w:val="both"/>
      </w:pPr>
    </w:p>
    <w:p w:rsidR="00043130" w:rsidRDefault="00043130" w:rsidP="00043130">
      <w:pPr>
        <w:pStyle w:val="NormlWeb"/>
        <w:spacing w:before="0" w:beforeAutospacing="0" w:after="0" w:afterAutospacing="0"/>
        <w:jc w:val="both"/>
      </w:pPr>
      <w:r w:rsidRPr="00ED3340">
        <w:t xml:space="preserve">Az Áht. 69. § (2) bekezdés alapján a </w:t>
      </w:r>
      <w:r w:rsidRPr="00ED3340">
        <w:rPr>
          <w:b/>
        </w:rPr>
        <w:t>belső kontrollrendszer</w:t>
      </w:r>
      <w:r w:rsidRPr="00ED3340">
        <w:t xml:space="preserve"> – beleértve a belső ellenőrzést – </w:t>
      </w:r>
      <w:r w:rsidRPr="00ED3340">
        <w:rPr>
          <w:b/>
        </w:rPr>
        <w:t xml:space="preserve">létrehozásáért, működtetéséért és fejlesztésért a költségvetési szerv vezetője felelős </w:t>
      </w:r>
      <w:r w:rsidRPr="00ED3340">
        <w:t>az államháztartásért felelős miniszter által közzétett módszertani útmutatók figyelembevételével.</w:t>
      </w:r>
    </w:p>
    <w:p w:rsidR="00043130" w:rsidRPr="00ED3340" w:rsidRDefault="00043130" w:rsidP="00043130">
      <w:pPr>
        <w:pStyle w:val="NormlWeb"/>
        <w:spacing w:before="0" w:beforeAutospacing="0" w:after="0" w:afterAutospacing="0"/>
        <w:jc w:val="both"/>
      </w:pPr>
    </w:p>
    <w:p w:rsidR="00043130" w:rsidRDefault="00043130" w:rsidP="00043130">
      <w:pPr>
        <w:pStyle w:val="NormlWeb"/>
        <w:spacing w:before="0" w:beforeAutospacing="0" w:after="0" w:afterAutospacing="0"/>
        <w:jc w:val="both"/>
        <w:rPr>
          <w:b/>
        </w:rPr>
      </w:pPr>
      <w:r w:rsidRPr="00ED3340">
        <w:t xml:space="preserve">A fentiek és az Áht. 70. § (1) bekezdés alapján </w:t>
      </w:r>
      <w:r w:rsidRPr="00ED3340">
        <w:rPr>
          <w:b/>
        </w:rPr>
        <w:t xml:space="preserve">a belső ellenőrzés kialakításáról, </w:t>
      </w:r>
      <w:r w:rsidRPr="00ED3340">
        <w:t xml:space="preserve">megfelelő </w:t>
      </w:r>
      <w:r w:rsidRPr="00ED3340">
        <w:rPr>
          <w:b/>
        </w:rPr>
        <w:t>működtetéséről és függetlenségének</w:t>
      </w:r>
      <w:r w:rsidRPr="00ED3340">
        <w:t xml:space="preserve"> biztosításáról a jegyző, mint a </w:t>
      </w:r>
      <w:r w:rsidRPr="00ED3340">
        <w:rPr>
          <w:b/>
        </w:rPr>
        <w:t>költségvetési szerv vezetője köteles gondoskodni.</w:t>
      </w:r>
    </w:p>
    <w:p w:rsidR="00043130" w:rsidRPr="00ED3340" w:rsidRDefault="00043130" w:rsidP="00043130">
      <w:pPr>
        <w:pStyle w:val="NormlWeb"/>
        <w:spacing w:before="0" w:beforeAutospacing="0" w:after="0" w:afterAutospacing="0"/>
        <w:jc w:val="both"/>
      </w:pPr>
    </w:p>
    <w:p w:rsidR="00043130" w:rsidRDefault="00043130" w:rsidP="00043130">
      <w:pPr>
        <w:pStyle w:val="NormlWeb"/>
        <w:spacing w:before="0" w:beforeAutospacing="0" w:after="0" w:afterAutospacing="0"/>
        <w:jc w:val="both"/>
        <w:rPr>
          <w:b/>
        </w:rPr>
      </w:pPr>
      <w:r w:rsidRPr="00ED3340">
        <w:rPr>
          <w:b/>
        </w:rPr>
        <w:t>A belső ellenőrzés bizonyosságot adó és tanácsadó tevékenység</w:t>
      </w:r>
      <w:r w:rsidRPr="00ED3340">
        <w:t xml:space="preserve"> keretében a jogszabályoknak és a belső szabályzatoknak való megfelelést, a tervezést, gazdálkodást, és a közfeladatok ellátását vizsgálva megállapításokat és javaslatokat fogalmaz meg a költségvetési szerv vezetője részére, annak érdekében, hogy az </w:t>
      </w:r>
      <w:r w:rsidRPr="00ED3340">
        <w:rPr>
          <w:b/>
        </w:rPr>
        <w:t>ellenőrzött szerv működését fejles</w:t>
      </w:r>
      <w:r>
        <w:rPr>
          <w:b/>
        </w:rPr>
        <w:t>sze és eredményességét növelje.</w:t>
      </w:r>
    </w:p>
    <w:p w:rsidR="00043130" w:rsidRPr="00ED3340" w:rsidRDefault="00043130" w:rsidP="00043130">
      <w:pPr>
        <w:pStyle w:val="NormlWeb"/>
        <w:spacing w:before="0" w:beforeAutospacing="0" w:after="0" w:afterAutospacing="0"/>
        <w:jc w:val="both"/>
      </w:pPr>
    </w:p>
    <w:p w:rsidR="00043130" w:rsidRPr="00ED3340" w:rsidRDefault="00043130" w:rsidP="00043130">
      <w:pPr>
        <w:jc w:val="both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A belső ellenőrzési tevékenység során szabályszerűségi, pénzügyi, rendszerellenőrzéseket, teljesítmény-ellenőrzéseket, illetve informatikai ellenőrzéseket kell végezni.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>A belső ellenőrzés szakmai gyakorlatának nemzetközi normái szerint a belső ellenőrzési tevékenységnek értékelnie kell a vizsgált szervezet irányítását, működését és információs rendszerét fenyegető kockázatokat a pénzügyi és működési adatok megbízhatósága és zártsága, a működési folyamatok hatékonysága és eredményessége, a vagyonvédelem, a törvények, a szabályzatok, irányelvek, eljárások és szerződések betartása területén.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>A központi jogszabályok, a központi jogharmonizációs és koordinációs feladatkörében a minisztérium által kiadott Módszertani Útmutatók standardizált módon meghatározzák, illetve segítik a tervezést, a tárgyévre tervezett belső ellenőrzési tevékenységet.</w:t>
      </w:r>
    </w:p>
    <w:p w:rsidR="00043130" w:rsidRPr="00ED3340" w:rsidRDefault="00043130" w:rsidP="00043130">
      <w:pPr>
        <w:jc w:val="both"/>
        <w:rPr>
          <w:b/>
          <w:sz w:val="24"/>
          <w:szCs w:val="24"/>
        </w:rPr>
      </w:pPr>
      <w:r w:rsidRPr="00ED3340">
        <w:rPr>
          <w:sz w:val="24"/>
          <w:szCs w:val="24"/>
        </w:rPr>
        <w:t xml:space="preserve">A </w:t>
      </w:r>
      <w:r w:rsidRPr="00ED3340">
        <w:rPr>
          <w:b/>
          <w:sz w:val="24"/>
          <w:szCs w:val="24"/>
        </w:rPr>
        <w:t>belső ellenőrzés általános stratégiai célja,</w:t>
      </w:r>
      <w:r w:rsidRPr="00ED3340">
        <w:rPr>
          <w:sz w:val="24"/>
          <w:szCs w:val="24"/>
        </w:rPr>
        <w:t xml:space="preserve"> hogy rendszerszemléletű megközelítéssel, a kockázatkezelési, kontroll és szervezetirányítási rendszerek módszeres értékelésével, javításával </w:t>
      </w:r>
      <w:r w:rsidRPr="00ED3340">
        <w:rPr>
          <w:b/>
          <w:sz w:val="24"/>
          <w:szCs w:val="24"/>
        </w:rPr>
        <w:t>hozzájáruljon az önkormányzat gazdasági programjában meghatározott célkitűzések eléréséhez.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>Az ellenőrzési feladatok végrehajtásának elsődleges célja: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>- Dunabogdány Község Önkormányzata és az intézményei zavartalan, szabályszerű működésének támogatása,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lastRenderedPageBreak/>
        <w:t>- az eszközökkel és forrásokkal való hatékony gazdálkodás elősegítése, vagyonvédelem.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>A fenti célok elérése érdekében biztosított a belső ellenőrök függetlensége.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i/>
          <w:iCs/>
          <w:sz w:val="24"/>
          <w:szCs w:val="24"/>
        </w:rPr>
      </w:pPr>
      <w:r w:rsidRPr="00ED3340">
        <w:rPr>
          <w:sz w:val="24"/>
          <w:szCs w:val="24"/>
        </w:rPr>
        <w:t>A belső ellenőrzés tevékenységének megszervezése négy éves időszakot magába foglaló stratégiai terv és éves ellenőrzési terv alapján történik</w:t>
      </w:r>
      <w:r w:rsidRPr="00ED3340">
        <w:rPr>
          <w:i/>
          <w:iCs/>
          <w:sz w:val="24"/>
          <w:szCs w:val="24"/>
        </w:rPr>
        <w:t xml:space="preserve">. 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 xml:space="preserve">A belső ellenőrzés feladattervét kockázatelemzés alapján hajtja végre. </w:t>
      </w:r>
    </w:p>
    <w:p w:rsidR="00043130" w:rsidRPr="00ED3340" w:rsidRDefault="00043130" w:rsidP="00043130">
      <w:pPr>
        <w:jc w:val="both"/>
        <w:rPr>
          <w:bCs/>
          <w:sz w:val="24"/>
          <w:szCs w:val="24"/>
        </w:rPr>
      </w:pP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>A belső ellenőrzés fontos feladata a potenciális hibák megelőzése érdekében, hogy a megjelenő új, illetve jelentős mértékben módosuló jogszabályok értelmezéséhez, egységes végrehajtásához segítséget nyújtson, együttműködve az ellenőrzött költségvetési, illetve egyéb szervezettel.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 xml:space="preserve">A jogi szabályozásban, valamint a Módszertani Útmutatóban foglaltak szerint a belső ellenőrzés hangsúlyának folyamatosan át kell helyeződnie a lényegi feladatára, a </w:t>
      </w:r>
      <w:r w:rsidRPr="00ED3340">
        <w:rPr>
          <w:iCs/>
          <w:sz w:val="24"/>
          <w:szCs w:val="24"/>
        </w:rPr>
        <w:t xml:space="preserve">kockázatokat kezelni hivatott </w:t>
      </w:r>
      <w:r w:rsidRPr="00ED3340">
        <w:rPr>
          <w:sz w:val="24"/>
          <w:szCs w:val="24"/>
        </w:rPr>
        <w:t>kontroll rendszer értékelésére. A belső ellenőrzésnek bizonyosságot kell nyújtania a szerv vezetőjének az általa kiépített és működtetett pénzügyi irányítási és kontroll rendszerek megfelelőségét illetően.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 xml:space="preserve">A helyi önkormányzatokra vonatkozó általános hatásköri szabályok szerint a </w:t>
      </w:r>
      <w:r w:rsidRPr="00ED3340">
        <w:rPr>
          <w:b/>
          <w:iCs/>
          <w:sz w:val="24"/>
          <w:szCs w:val="24"/>
        </w:rPr>
        <w:t xml:space="preserve">képviselő-testület hatáskörébe tartozik az éves belső ellenőrzési terv </w:t>
      </w:r>
      <w:r w:rsidRPr="00ED3340">
        <w:rPr>
          <w:b/>
          <w:sz w:val="24"/>
          <w:szCs w:val="24"/>
        </w:rPr>
        <w:t>jóváhagyása.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sz w:val="24"/>
          <w:szCs w:val="24"/>
        </w:rPr>
      </w:pPr>
      <w:r w:rsidRPr="00ED3340">
        <w:rPr>
          <w:sz w:val="24"/>
          <w:szCs w:val="24"/>
        </w:rPr>
        <w:t xml:space="preserve">Az egyes ellenőrzések lefolytatásának eljárási szabályai a </w:t>
      </w:r>
      <w:proofErr w:type="spellStart"/>
      <w:r w:rsidRPr="00ED3340">
        <w:rPr>
          <w:sz w:val="24"/>
          <w:szCs w:val="24"/>
        </w:rPr>
        <w:t>Bkr</w:t>
      </w:r>
      <w:proofErr w:type="spellEnd"/>
      <w:r w:rsidRPr="00ED3340">
        <w:rPr>
          <w:sz w:val="24"/>
          <w:szCs w:val="24"/>
        </w:rPr>
        <w:t>. alapján kerülnek ellátásra.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b/>
          <w:sz w:val="24"/>
          <w:szCs w:val="24"/>
        </w:rPr>
      </w:pPr>
      <w:r w:rsidRPr="00ED3340">
        <w:rPr>
          <w:sz w:val="24"/>
          <w:szCs w:val="24"/>
        </w:rPr>
        <w:t xml:space="preserve">Tekintettel arra, hogy </w:t>
      </w:r>
      <w:r w:rsidRPr="00ED3340">
        <w:rPr>
          <w:b/>
          <w:sz w:val="24"/>
          <w:szCs w:val="24"/>
        </w:rPr>
        <w:t>a belső ellenőrzés külső szakértő igénybe vételével kerül ellátásra, ezért a belső ellenőrzési vezetői feladatok is általa kerülnek ellátásra.</w:t>
      </w:r>
    </w:p>
    <w:p w:rsidR="00043130" w:rsidRPr="00ED3340" w:rsidRDefault="00043130" w:rsidP="00043130">
      <w:pPr>
        <w:jc w:val="both"/>
        <w:rPr>
          <w:sz w:val="24"/>
          <w:szCs w:val="24"/>
        </w:rPr>
      </w:pPr>
    </w:p>
    <w:p w:rsidR="00043130" w:rsidRPr="00ED3340" w:rsidRDefault="00043130" w:rsidP="00043130">
      <w:pPr>
        <w:jc w:val="both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A belső ellenőrzés függetlenségét biztosító szervezeti felépítést a Belső ellenőrzési kézikönyv tartalmazza.</w:t>
      </w:r>
    </w:p>
    <w:p w:rsidR="00043130" w:rsidRPr="00ED3340" w:rsidRDefault="00043130" w:rsidP="00043130">
      <w:pPr>
        <w:jc w:val="both"/>
        <w:rPr>
          <w:snapToGrid w:val="0"/>
          <w:sz w:val="24"/>
          <w:szCs w:val="24"/>
        </w:rPr>
      </w:pPr>
    </w:p>
    <w:p w:rsidR="00043130" w:rsidRPr="00ED3340" w:rsidRDefault="00043130" w:rsidP="00043130">
      <w:pPr>
        <w:jc w:val="both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A belső ellenőrzést végző szerv képviseletében eljáró belső ellenőr feladatainak maradéktalan ellátása érdekében az ellenőrzött szerv, illetve szervezeti egység</w:t>
      </w:r>
    </w:p>
    <w:p w:rsidR="00043130" w:rsidRPr="00ED3340" w:rsidRDefault="00043130" w:rsidP="0004313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bármely helyiségébe beléphet,</w:t>
      </w:r>
    </w:p>
    <w:p w:rsidR="00043130" w:rsidRPr="00ED3340" w:rsidRDefault="00043130" w:rsidP="0004313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számára akadálytalan hozzáférést kell biztosítani valamennyi irathoz, adathoz és informatikai rendszerhez,</w:t>
      </w:r>
    </w:p>
    <w:p w:rsidR="00043130" w:rsidRPr="00ED3340" w:rsidRDefault="00043130" w:rsidP="0004313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kérésére az ellenőrzött szerv, illetve szervezeti egység bármely dolgozója köteles szóban vagy írásban információt szolgáltatni.</w:t>
      </w:r>
    </w:p>
    <w:p w:rsidR="00043130" w:rsidRPr="00ED3340" w:rsidRDefault="00043130" w:rsidP="00043130">
      <w:pPr>
        <w:jc w:val="both"/>
        <w:rPr>
          <w:snapToGrid w:val="0"/>
          <w:sz w:val="24"/>
          <w:szCs w:val="24"/>
        </w:rPr>
      </w:pPr>
    </w:p>
    <w:p w:rsidR="00043130" w:rsidRPr="00ED3340" w:rsidRDefault="00043130" w:rsidP="00043130">
      <w:pPr>
        <w:jc w:val="both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A belső ellenőrzést végző szerv képviseletében eljáró belső ellenőr az ellenőrzött szervnél, illetve szervezeti egységnél</w:t>
      </w:r>
    </w:p>
    <w:p w:rsidR="00043130" w:rsidRPr="00ED3340" w:rsidRDefault="00043130" w:rsidP="00043130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 xml:space="preserve">államtitkot, szolgálati titkot, üzleti titkot tartalmazó iratokba és más dokumentumokba is betekinthet, azokról másolatot, kivonatot kérhet, illetve </w:t>
      </w:r>
    </w:p>
    <w:p w:rsidR="00C0280F" w:rsidRPr="00043130" w:rsidRDefault="00043130" w:rsidP="00043130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napToGrid w:val="0"/>
          <w:sz w:val="24"/>
          <w:szCs w:val="24"/>
        </w:rPr>
      </w:pPr>
      <w:r w:rsidRPr="00ED3340">
        <w:rPr>
          <w:snapToGrid w:val="0"/>
          <w:sz w:val="24"/>
          <w:szCs w:val="24"/>
        </w:rPr>
        <w:t>személyes adatokat kezelhet, a jogszabályokban meghatározott adat- és titokvédelmi előírások betartásával.</w:t>
      </w:r>
      <w:bookmarkStart w:id="0" w:name="_GoBack"/>
      <w:bookmarkEnd w:id="0"/>
    </w:p>
    <w:sectPr w:rsidR="00C0280F" w:rsidRPr="00043130" w:rsidSect="00117F02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17" w:rsidRDefault="00944717" w:rsidP="00043130">
      <w:r>
        <w:separator/>
      </w:r>
    </w:p>
  </w:endnote>
  <w:endnote w:type="continuationSeparator" w:id="0">
    <w:p w:rsidR="00944717" w:rsidRDefault="00944717" w:rsidP="0004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V Boli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17" w:rsidRDefault="00944717" w:rsidP="00043130">
      <w:r>
        <w:separator/>
      </w:r>
    </w:p>
  </w:footnote>
  <w:footnote w:type="continuationSeparator" w:id="0">
    <w:p w:rsidR="00944717" w:rsidRDefault="00944717" w:rsidP="00043130">
      <w:r>
        <w:continuationSeparator/>
      </w:r>
    </w:p>
  </w:footnote>
  <w:footnote w:id="1">
    <w:p w:rsidR="00043130" w:rsidRDefault="00043130" w:rsidP="00043130">
      <w:pPr>
        <w:pStyle w:val="Lbjegyzetszveg"/>
      </w:pPr>
      <w:r>
        <w:rPr>
          <w:rStyle w:val="Lbjegyzet-hivatkozs"/>
        </w:rPr>
        <w:footnoteRef/>
      </w:r>
      <w:r>
        <w:t xml:space="preserve"> Módosította: 2/2016. (II. 17.) önkormányzati rendelet</w:t>
      </w:r>
    </w:p>
  </w:footnote>
  <w:footnote w:id="2">
    <w:p w:rsidR="00043130" w:rsidRDefault="00043130" w:rsidP="00043130">
      <w:pPr>
        <w:pStyle w:val="Lbjegyzetszveg"/>
      </w:pPr>
      <w:r>
        <w:rPr>
          <w:rStyle w:val="Lbjegyzet-hivatkozs"/>
        </w:rPr>
        <w:footnoteRef/>
      </w:r>
      <w:r>
        <w:t xml:space="preserve"> Módosította: 2/2016. (II. 17.) önkormányzati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5A5"/>
    <w:multiLevelType w:val="hybridMultilevel"/>
    <w:tmpl w:val="72106892"/>
    <w:lvl w:ilvl="0" w:tplc="689E0372">
      <w:start w:val="1"/>
      <w:numFmt w:val="bullet"/>
      <w:lvlText w:val="–"/>
      <w:lvlJc w:val="left"/>
      <w:pPr>
        <w:ind w:left="564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>
    <w:nsid w:val="70386066"/>
    <w:multiLevelType w:val="hybridMultilevel"/>
    <w:tmpl w:val="D88E814A"/>
    <w:lvl w:ilvl="0" w:tplc="689E03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30"/>
    <w:rsid w:val="00043130"/>
    <w:rsid w:val="008771C4"/>
    <w:rsid w:val="00944717"/>
    <w:rsid w:val="00C0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431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43130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043130"/>
    <w:pPr>
      <w:tabs>
        <w:tab w:val="left" w:pos="-851"/>
        <w:tab w:val="left" w:pos="709"/>
        <w:tab w:val="left" w:pos="851"/>
      </w:tabs>
      <w:ind w:right="5273"/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04313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043130"/>
    <w:pPr>
      <w:tabs>
        <w:tab w:val="left" w:pos="-851"/>
        <w:tab w:val="left" w:pos="709"/>
        <w:tab w:val="left" w:pos="851"/>
      </w:tabs>
      <w:ind w:right="5273"/>
      <w:jc w:val="both"/>
    </w:pPr>
    <w:rPr>
      <w:bCs/>
    </w:rPr>
  </w:style>
  <w:style w:type="character" w:customStyle="1" w:styleId="Szvegtrzs2Char">
    <w:name w:val="Szövegtörzs 2 Char"/>
    <w:basedOn w:val="Bekezdsalapbettpusa"/>
    <w:link w:val="Szvegtrzs2"/>
    <w:rsid w:val="00043130"/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43130"/>
  </w:style>
  <w:style w:type="character" w:customStyle="1" w:styleId="LbjegyzetszvegChar">
    <w:name w:val="Lábjegyzetszöveg Char"/>
    <w:basedOn w:val="Bekezdsalapbettpusa"/>
    <w:link w:val="Lbjegyzetszveg"/>
    <w:semiHidden/>
    <w:rsid w:val="000431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43130"/>
    <w:rPr>
      <w:vertAlign w:val="superscript"/>
    </w:rPr>
  </w:style>
  <w:style w:type="paragraph" w:styleId="NormlWeb">
    <w:name w:val="Normal (Web)"/>
    <w:basedOn w:val="Norml"/>
    <w:rsid w:val="000431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04313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431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43130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043130"/>
    <w:pPr>
      <w:tabs>
        <w:tab w:val="left" w:pos="-851"/>
        <w:tab w:val="left" w:pos="709"/>
        <w:tab w:val="left" w:pos="851"/>
      </w:tabs>
      <w:ind w:right="5273"/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04313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043130"/>
    <w:pPr>
      <w:tabs>
        <w:tab w:val="left" w:pos="-851"/>
        <w:tab w:val="left" w:pos="709"/>
        <w:tab w:val="left" w:pos="851"/>
      </w:tabs>
      <w:ind w:right="5273"/>
      <w:jc w:val="both"/>
    </w:pPr>
    <w:rPr>
      <w:bCs/>
    </w:rPr>
  </w:style>
  <w:style w:type="character" w:customStyle="1" w:styleId="Szvegtrzs2Char">
    <w:name w:val="Szövegtörzs 2 Char"/>
    <w:basedOn w:val="Bekezdsalapbettpusa"/>
    <w:link w:val="Szvegtrzs2"/>
    <w:rsid w:val="00043130"/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43130"/>
  </w:style>
  <w:style w:type="character" w:customStyle="1" w:styleId="LbjegyzetszvegChar">
    <w:name w:val="Lábjegyzetszöveg Char"/>
    <w:basedOn w:val="Bekezdsalapbettpusa"/>
    <w:link w:val="Lbjegyzetszveg"/>
    <w:semiHidden/>
    <w:rsid w:val="000431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43130"/>
    <w:rPr>
      <w:vertAlign w:val="superscript"/>
    </w:rPr>
  </w:style>
  <w:style w:type="paragraph" w:styleId="NormlWeb">
    <w:name w:val="Normal (Web)"/>
    <w:basedOn w:val="Norml"/>
    <w:rsid w:val="000431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04313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2016-02-23T07:43:00Z</dcterms:created>
  <dcterms:modified xsi:type="dcterms:W3CDTF">2016-02-23T07:44:00Z</dcterms:modified>
</cp:coreProperties>
</file>