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DAD" w:rsidRPr="008E3D41" w:rsidRDefault="00F12DAD" w:rsidP="00F12DAD">
      <w:pPr>
        <w:jc w:val="center"/>
        <w:rPr>
          <w:rFonts w:ascii="Times New Roman" w:hAnsi="Times New Roman"/>
          <w:b/>
          <w:sz w:val="22"/>
          <w:szCs w:val="22"/>
        </w:rPr>
      </w:pPr>
      <w:r w:rsidRPr="008E3D41">
        <w:rPr>
          <w:rFonts w:ascii="Times New Roman" w:hAnsi="Times New Roman"/>
          <w:b/>
          <w:sz w:val="22"/>
          <w:szCs w:val="22"/>
        </w:rPr>
        <w:t xml:space="preserve">1. melléklet a 2/2017. </w:t>
      </w:r>
      <w:r w:rsidRPr="008E3D41">
        <w:rPr>
          <w:rFonts w:ascii="Times New Roman" w:hAnsi="Times New Roman"/>
          <w:b/>
          <w:sz w:val="22"/>
          <w:szCs w:val="22"/>
          <w:lang w:val="de-DE"/>
        </w:rPr>
        <w:t xml:space="preserve">(II. 16.) </w:t>
      </w:r>
      <w:proofErr w:type="spellStart"/>
      <w:r w:rsidRPr="008E3D41">
        <w:rPr>
          <w:rFonts w:ascii="Times New Roman" w:hAnsi="Times New Roman"/>
          <w:b/>
          <w:sz w:val="22"/>
          <w:szCs w:val="22"/>
          <w:lang w:val="de-DE"/>
        </w:rPr>
        <w:t>önkormányzati</w:t>
      </w:r>
      <w:proofErr w:type="spellEnd"/>
      <w:r w:rsidRPr="008E3D41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proofErr w:type="spellStart"/>
      <w:r w:rsidRPr="008E3D41">
        <w:rPr>
          <w:rFonts w:ascii="Times New Roman" w:hAnsi="Times New Roman"/>
          <w:b/>
          <w:sz w:val="22"/>
          <w:szCs w:val="22"/>
          <w:lang w:val="de-DE"/>
        </w:rPr>
        <w:t>rendelet</w:t>
      </w:r>
      <w:r w:rsidRPr="008E3D41">
        <w:rPr>
          <w:rFonts w:ascii="Times New Roman" w:hAnsi="Times New Roman"/>
          <w:b/>
          <w:sz w:val="22"/>
          <w:szCs w:val="22"/>
        </w:rPr>
        <w:t>hez</w:t>
      </w:r>
      <w:proofErr w:type="spellEnd"/>
    </w:p>
    <w:p w:rsidR="00F12DAD" w:rsidRPr="007D0396" w:rsidRDefault="00F12DAD" w:rsidP="00F12DAD">
      <w:pPr>
        <w:tabs>
          <w:tab w:val="center" w:pos="2340"/>
          <w:tab w:val="center" w:pos="6840"/>
        </w:tabs>
        <w:jc w:val="both"/>
        <w:rPr>
          <w:rFonts w:ascii="Times New Roman" w:hAnsi="Times New Roman"/>
          <w:sz w:val="22"/>
          <w:szCs w:val="22"/>
        </w:rPr>
      </w:pPr>
    </w:p>
    <w:p w:rsidR="00F12DAD" w:rsidRPr="007D0396" w:rsidRDefault="00F12DAD" w:rsidP="00F12DAD">
      <w:pPr>
        <w:tabs>
          <w:tab w:val="center" w:pos="2340"/>
          <w:tab w:val="center" w:pos="6840"/>
        </w:tabs>
        <w:jc w:val="both"/>
        <w:rPr>
          <w:rFonts w:ascii="Times New Roman" w:hAnsi="Times New Roman"/>
          <w:sz w:val="22"/>
          <w:szCs w:val="22"/>
        </w:rPr>
      </w:pPr>
    </w:p>
    <w:p w:rsidR="00F12DAD" w:rsidRPr="00D87E91" w:rsidRDefault="00F12DAD" w:rsidP="00F12DAD">
      <w:pPr>
        <w:overflowPunct/>
        <w:spacing w:after="12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D87E91">
        <w:rPr>
          <w:rFonts w:ascii="Times New Roman" w:hAnsi="Times New Roman"/>
          <w:sz w:val="22"/>
          <w:szCs w:val="22"/>
        </w:rPr>
        <w:t>1. A polgármesterre átruházott hatáskörök:</w:t>
      </w:r>
      <w:bookmarkStart w:id="0" w:name="_GoBack"/>
      <w:bookmarkEnd w:id="0"/>
    </w:p>
    <w:p w:rsidR="00F12DAD" w:rsidRPr="00D87E91" w:rsidRDefault="00F12DAD" w:rsidP="00F12DAD">
      <w:pPr>
        <w:overflowPunct/>
        <w:ind w:left="360"/>
        <w:jc w:val="both"/>
        <w:textAlignment w:val="auto"/>
        <w:rPr>
          <w:rFonts w:ascii="Times New Roman" w:hAnsi="Times New Roman"/>
          <w:sz w:val="22"/>
          <w:szCs w:val="22"/>
        </w:rPr>
      </w:pPr>
      <w:proofErr w:type="gramStart"/>
      <w:r w:rsidRPr="00D87E91">
        <w:rPr>
          <w:rFonts w:ascii="Times New Roman" w:hAnsi="Times New Roman"/>
          <w:sz w:val="22"/>
          <w:szCs w:val="22"/>
        </w:rPr>
        <w:t>a</w:t>
      </w:r>
      <w:proofErr w:type="gramEnd"/>
      <w:r w:rsidRPr="00D87E91">
        <w:rPr>
          <w:rFonts w:ascii="Times New Roman" w:hAnsi="Times New Roman"/>
          <w:sz w:val="22"/>
          <w:szCs w:val="22"/>
        </w:rPr>
        <w:t xml:space="preserve">) </w:t>
      </w:r>
      <w:r w:rsidRPr="00D87E91">
        <w:rPr>
          <w:rFonts w:ascii="Times New Roman" w:hAnsi="Times New Roman"/>
          <w:iCs/>
          <w:sz w:val="22"/>
          <w:szCs w:val="22"/>
        </w:rPr>
        <w:t>Dönt a szociális ellátásokról szóló önkormányzati rendelet 4. §</w:t>
      </w:r>
      <w:proofErr w:type="spellStart"/>
      <w:r w:rsidRPr="00D87E91">
        <w:rPr>
          <w:rFonts w:ascii="Times New Roman" w:hAnsi="Times New Roman"/>
          <w:iCs/>
          <w:sz w:val="22"/>
          <w:szCs w:val="22"/>
        </w:rPr>
        <w:t>-ában</w:t>
      </w:r>
      <w:proofErr w:type="spellEnd"/>
      <w:r w:rsidRPr="00D87E91">
        <w:rPr>
          <w:rFonts w:ascii="Times New Roman" w:hAnsi="Times New Roman"/>
          <w:iCs/>
          <w:sz w:val="22"/>
          <w:szCs w:val="22"/>
        </w:rPr>
        <w:t xml:space="preserve"> meghatározott ügyekben</w:t>
      </w:r>
      <w:r w:rsidRPr="00D87E91">
        <w:rPr>
          <w:rFonts w:ascii="Times New Roman" w:hAnsi="Times New Roman"/>
          <w:sz w:val="22"/>
          <w:szCs w:val="22"/>
        </w:rPr>
        <w:t>.</w:t>
      </w:r>
    </w:p>
    <w:p w:rsidR="00F12DAD" w:rsidRPr="00D87E91" w:rsidRDefault="00F12DAD" w:rsidP="00F12DAD">
      <w:pPr>
        <w:overflowPunct/>
        <w:ind w:left="360"/>
        <w:jc w:val="both"/>
        <w:textAlignment w:val="auto"/>
        <w:rPr>
          <w:rFonts w:ascii="Times New Roman" w:hAnsi="Times New Roman"/>
          <w:iCs/>
          <w:sz w:val="22"/>
          <w:szCs w:val="22"/>
        </w:rPr>
      </w:pPr>
      <w:r w:rsidRPr="00D87E91">
        <w:rPr>
          <w:rFonts w:ascii="Times New Roman" w:hAnsi="Times New Roman"/>
          <w:sz w:val="22"/>
          <w:szCs w:val="22"/>
        </w:rPr>
        <w:t xml:space="preserve">b) </w:t>
      </w:r>
      <w:r w:rsidRPr="00D87E91">
        <w:rPr>
          <w:rFonts w:ascii="Times New Roman" w:hAnsi="Times New Roman"/>
          <w:iCs/>
          <w:sz w:val="22"/>
          <w:szCs w:val="22"/>
        </w:rPr>
        <w:t>Eljár az államháztartáson kívüli forrás átvételéről és az államháztartáson kívülre nyújtott támogatásokról szóló önkormányzati rendelet 15. § (1) bekezdésében meghatározott esetekben.</w:t>
      </w:r>
    </w:p>
    <w:p w:rsidR="00F12DAD" w:rsidRPr="00D87E91" w:rsidRDefault="00F12DAD" w:rsidP="00F12DAD">
      <w:pPr>
        <w:overflowPunct/>
        <w:ind w:left="360"/>
        <w:jc w:val="both"/>
        <w:textAlignment w:val="auto"/>
        <w:rPr>
          <w:rStyle w:val="Kiemels2"/>
          <w:rFonts w:ascii="Times New Roman" w:hAnsi="Times New Roman"/>
          <w:b w:val="0"/>
          <w:bCs w:val="0"/>
          <w:sz w:val="22"/>
          <w:szCs w:val="22"/>
        </w:rPr>
      </w:pPr>
      <w:r w:rsidRPr="00D87E91">
        <w:rPr>
          <w:rStyle w:val="Kiemels2"/>
          <w:rFonts w:ascii="Times New Roman" w:hAnsi="Times New Roman"/>
          <w:b w:val="0"/>
          <w:iCs/>
          <w:sz w:val="22"/>
          <w:szCs w:val="22"/>
        </w:rPr>
        <w:t>c) Munkaszerződést köt közcélú és közhasznú foglalkoztatás keretében alkalmazott munkavállalókkal.</w:t>
      </w:r>
    </w:p>
    <w:p w:rsidR="00F12DAD" w:rsidRPr="00D87E91" w:rsidRDefault="00F12DAD" w:rsidP="00F12DAD">
      <w:pPr>
        <w:overflowPunct/>
        <w:ind w:left="360"/>
        <w:jc w:val="both"/>
        <w:textAlignment w:val="auto"/>
        <w:rPr>
          <w:rStyle w:val="Kiemels2"/>
          <w:rFonts w:ascii="Times New Roman" w:hAnsi="Times New Roman"/>
          <w:b w:val="0"/>
          <w:iCs/>
          <w:sz w:val="22"/>
          <w:szCs w:val="22"/>
        </w:rPr>
      </w:pPr>
      <w:r w:rsidRPr="00D87E91">
        <w:rPr>
          <w:rStyle w:val="Kiemels2"/>
          <w:rFonts w:ascii="Times New Roman" w:hAnsi="Times New Roman"/>
          <w:b w:val="0"/>
          <w:iCs/>
          <w:sz w:val="22"/>
          <w:szCs w:val="22"/>
        </w:rPr>
        <w:t>d) Dönt a közfoglalkoztatásról szóló törvényben meghatározott közfoglalkoztatóval, közfoglalkoztatás tárgyában kötendő együttműködési megállapodás megkötéséről, ha az az önkormányzat számára anyagi kötelezettséget nem jelent.</w:t>
      </w:r>
    </w:p>
    <w:p w:rsidR="00F12DAD" w:rsidRPr="00D87E91" w:rsidRDefault="00F12DAD" w:rsidP="00F12DAD">
      <w:pPr>
        <w:ind w:left="357"/>
        <w:jc w:val="both"/>
        <w:rPr>
          <w:rFonts w:ascii="Times New Roman" w:hAnsi="Times New Roman"/>
          <w:iCs/>
          <w:sz w:val="22"/>
          <w:szCs w:val="22"/>
        </w:rPr>
      </w:pPr>
      <w:proofErr w:type="gramStart"/>
      <w:r w:rsidRPr="00D87E91">
        <w:rPr>
          <w:rFonts w:ascii="Times New Roman" w:hAnsi="Times New Roman"/>
          <w:iCs/>
          <w:sz w:val="22"/>
          <w:szCs w:val="22"/>
        </w:rPr>
        <w:t>e</w:t>
      </w:r>
      <w:proofErr w:type="gramEnd"/>
      <w:r w:rsidRPr="00D87E91">
        <w:rPr>
          <w:rFonts w:ascii="Times New Roman" w:hAnsi="Times New Roman"/>
          <w:iCs/>
          <w:sz w:val="22"/>
          <w:szCs w:val="22"/>
        </w:rPr>
        <w:t>) Jóváhagyja az Önkormányzat, mint szociális szolgáltató személyes gondoskodás szociális alapszolgáltatásai körébe tartozó étkeztetés szervezeti és működési szabályzatát és szakmai programját.</w:t>
      </w:r>
    </w:p>
    <w:p w:rsidR="00F12DAD" w:rsidRPr="00D87E91" w:rsidRDefault="00F12DAD" w:rsidP="00F12DAD">
      <w:pPr>
        <w:ind w:left="357"/>
        <w:jc w:val="both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D87E91">
        <w:rPr>
          <w:rFonts w:ascii="Times New Roman" w:hAnsi="Times New Roman"/>
          <w:iCs/>
          <w:sz w:val="22"/>
          <w:szCs w:val="22"/>
        </w:rPr>
        <w:t>f</w:t>
      </w:r>
      <w:proofErr w:type="gramEnd"/>
      <w:r w:rsidRPr="00D87E91">
        <w:rPr>
          <w:rFonts w:ascii="Times New Roman" w:hAnsi="Times New Roman"/>
          <w:iCs/>
          <w:sz w:val="22"/>
          <w:szCs w:val="22"/>
        </w:rPr>
        <w:t xml:space="preserve">) Dönt a </w:t>
      </w:r>
      <w:r w:rsidRPr="00D87E91">
        <w:rPr>
          <w:rFonts w:ascii="Times New Roman" w:hAnsi="Times New Roman"/>
          <w:sz w:val="22"/>
          <w:szCs w:val="22"/>
        </w:rPr>
        <w:t>közúti közlekedésről szóló 1988. évi I. törvény 3. §</w:t>
      </w:r>
      <w:proofErr w:type="spellStart"/>
      <w:r w:rsidRPr="00D87E91">
        <w:rPr>
          <w:rFonts w:ascii="Times New Roman" w:hAnsi="Times New Roman"/>
          <w:sz w:val="22"/>
          <w:szCs w:val="22"/>
        </w:rPr>
        <w:t>-ában</w:t>
      </w:r>
      <w:proofErr w:type="spellEnd"/>
      <w:r w:rsidRPr="00D87E91">
        <w:rPr>
          <w:rFonts w:ascii="Times New Roman" w:hAnsi="Times New Roman"/>
          <w:sz w:val="22"/>
          <w:szCs w:val="22"/>
        </w:rPr>
        <w:t>, 7. §</w:t>
      </w:r>
      <w:proofErr w:type="spellStart"/>
      <w:r w:rsidRPr="00D87E91">
        <w:rPr>
          <w:rFonts w:ascii="Times New Roman" w:hAnsi="Times New Roman"/>
          <w:sz w:val="22"/>
          <w:szCs w:val="22"/>
        </w:rPr>
        <w:t>-ában</w:t>
      </w:r>
      <w:proofErr w:type="spellEnd"/>
      <w:r w:rsidRPr="00D87E91">
        <w:rPr>
          <w:rFonts w:ascii="Times New Roman" w:hAnsi="Times New Roman"/>
          <w:sz w:val="22"/>
          <w:szCs w:val="22"/>
        </w:rPr>
        <w:t>, 12. §</w:t>
      </w:r>
      <w:proofErr w:type="spellStart"/>
      <w:r w:rsidRPr="00D87E91">
        <w:rPr>
          <w:rFonts w:ascii="Times New Roman" w:hAnsi="Times New Roman"/>
          <w:sz w:val="22"/>
          <w:szCs w:val="22"/>
        </w:rPr>
        <w:t>-ában</w:t>
      </w:r>
      <w:proofErr w:type="spellEnd"/>
      <w:r w:rsidRPr="00D87E91">
        <w:rPr>
          <w:rFonts w:ascii="Times New Roman" w:hAnsi="Times New Roman"/>
          <w:sz w:val="22"/>
          <w:szCs w:val="22"/>
        </w:rPr>
        <w:t>, 14. §</w:t>
      </w:r>
      <w:proofErr w:type="spellStart"/>
      <w:r w:rsidRPr="00D87E91">
        <w:rPr>
          <w:rFonts w:ascii="Times New Roman" w:hAnsi="Times New Roman"/>
          <w:sz w:val="22"/>
          <w:szCs w:val="22"/>
        </w:rPr>
        <w:t>-ában</w:t>
      </w:r>
      <w:proofErr w:type="spellEnd"/>
      <w:r w:rsidRPr="00D87E91">
        <w:rPr>
          <w:rFonts w:ascii="Times New Roman" w:hAnsi="Times New Roman"/>
          <w:sz w:val="22"/>
          <w:szCs w:val="22"/>
        </w:rPr>
        <w:t>, 29/B. §</w:t>
      </w:r>
      <w:proofErr w:type="spellStart"/>
      <w:r w:rsidRPr="00D87E91">
        <w:rPr>
          <w:rFonts w:ascii="Times New Roman" w:hAnsi="Times New Roman"/>
          <w:sz w:val="22"/>
          <w:szCs w:val="22"/>
        </w:rPr>
        <w:t>-ában</w:t>
      </w:r>
      <w:proofErr w:type="spellEnd"/>
      <w:r w:rsidRPr="00D87E91">
        <w:rPr>
          <w:rFonts w:ascii="Times New Roman" w:hAnsi="Times New Roman"/>
          <w:sz w:val="22"/>
          <w:szCs w:val="22"/>
        </w:rPr>
        <w:t>, 34. § (3)-(4) és (6) bekezdésében, 35-37. §</w:t>
      </w:r>
      <w:proofErr w:type="spellStart"/>
      <w:r w:rsidRPr="00D87E91">
        <w:rPr>
          <w:rFonts w:ascii="Times New Roman" w:hAnsi="Times New Roman"/>
          <w:sz w:val="22"/>
          <w:szCs w:val="22"/>
        </w:rPr>
        <w:t>-ában</w:t>
      </w:r>
      <w:proofErr w:type="spellEnd"/>
      <w:r w:rsidRPr="00D87E91">
        <w:rPr>
          <w:rFonts w:ascii="Times New Roman" w:hAnsi="Times New Roman"/>
          <w:sz w:val="22"/>
          <w:szCs w:val="22"/>
        </w:rPr>
        <w:t>, 39. §</w:t>
      </w:r>
      <w:proofErr w:type="spellStart"/>
      <w:r w:rsidRPr="00D87E91">
        <w:rPr>
          <w:rFonts w:ascii="Times New Roman" w:hAnsi="Times New Roman"/>
          <w:sz w:val="22"/>
          <w:szCs w:val="22"/>
        </w:rPr>
        <w:t>-ában</w:t>
      </w:r>
      <w:proofErr w:type="spellEnd"/>
      <w:r w:rsidRPr="00D87E91">
        <w:rPr>
          <w:rFonts w:ascii="Times New Roman" w:hAnsi="Times New Roman"/>
          <w:sz w:val="22"/>
          <w:szCs w:val="22"/>
        </w:rPr>
        <w:t>, 41-42/A. §</w:t>
      </w:r>
      <w:proofErr w:type="spellStart"/>
      <w:r w:rsidRPr="00D87E91">
        <w:rPr>
          <w:rFonts w:ascii="Times New Roman" w:hAnsi="Times New Roman"/>
          <w:sz w:val="22"/>
          <w:szCs w:val="22"/>
        </w:rPr>
        <w:t>-ában</w:t>
      </w:r>
      <w:proofErr w:type="spellEnd"/>
      <w:r w:rsidRPr="00D87E91">
        <w:rPr>
          <w:rFonts w:ascii="Times New Roman" w:hAnsi="Times New Roman"/>
          <w:sz w:val="22"/>
          <w:szCs w:val="22"/>
        </w:rPr>
        <w:t xml:space="preserve"> és 43. §</w:t>
      </w:r>
      <w:proofErr w:type="spellStart"/>
      <w:r w:rsidRPr="00D87E91">
        <w:rPr>
          <w:rFonts w:ascii="Times New Roman" w:hAnsi="Times New Roman"/>
          <w:color w:val="000000"/>
          <w:sz w:val="22"/>
          <w:szCs w:val="22"/>
        </w:rPr>
        <w:t>-ában</w:t>
      </w:r>
      <w:proofErr w:type="spellEnd"/>
      <w:r w:rsidRPr="00D87E91">
        <w:rPr>
          <w:rFonts w:ascii="Times New Roman" w:hAnsi="Times New Roman"/>
          <w:color w:val="000000"/>
          <w:sz w:val="22"/>
          <w:szCs w:val="22"/>
        </w:rPr>
        <w:t xml:space="preserve"> meghatározott ügyekben.</w:t>
      </w:r>
    </w:p>
    <w:p w:rsidR="00F12DAD" w:rsidRPr="00D87E91" w:rsidRDefault="00F12DAD" w:rsidP="00F12DAD">
      <w:pPr>
        <w:ind w:left="357"/>
        <w:jc w:val="both"/>
        <w:rPr>
          <w:rFonts w:ascii="Times New Roman" w:hAnsi="Times New Roman"/>
          <w:iCs/>
          <w:sz w:val="22"/>
          <w:szCs w:val="22"/>
        </w:rPr>
      </w:pPr>
      <w:proofErr w:type="gramStart"/>
      <w:r w:rsidRPr="00D87E91">
        <w:rPr>
          <w:rFonts w:ascii="Times New Roman" w:hAnsi="Times New Roman"/>
          <w:iCs/>
          <w:sz w:val="22"/>
          <w:szCs w:val="22"/>
        </w:rPr>
        <w:t>g</w:t>
      </w:r>
      <w:proofErr w:type="gramEnd"/>
      <w:r w:rsidRPr="00D87E91">
        <w:rPr>
          <w:rFonts w:ascii="Times New Roman" w:hAnsi="Times New Roman"/>
          <w:iCs/>
          <w:sz w:val="22"/>
          <w:szCs w:val="22"/>
        </w:rPr>
        <w:t>) Az egyes ingatlanok esetében dönt az környezet alakításáról és védelméről szóló 1997. évi LXXVIII. törvény 25. §</w:t>
      </w:r>
      <w:proofErr w:type="spellStart"/>
      <w:r w:rsidRPr="00D87E91">
        <w:rPr>
          <w:rFonts w:ascii="Times New Roman" w:hAnsi="Times New Roman"/>
          <w:iCs/>
          <w:sz w:val="22"/>
          <w:szCs w:val="22"/>
        </w:rPr>
        <w:t>-a</w:t>
      </w:r>
      <w:proofErr w:type="spellEnd"/>
      <w:r w:rsidRPr="00D87E91">
        <w:rPr>
          <w:rFonts w:ascii="Times New Roman" w:hAnsi="Times New Roman"/>
          <w:iCs/>
          <w:sz w:val="22"/>
          <w:szCs w:val="22"/>
        </w:rPr>
        <w:t xml:space="preserve"> szerinti elővásárlási jog bejegyeztetéséről.</w:t>
      </w:r>
    </w:p>
    <w:p w:rsidR="00F12DAD" w:rsidRPr="00D87E91" w:rsidRDefault="00F12DAD" w:rsidP="00F12DAD">
      <w:pPr>
        <w:ind w:left="357"/>
        <w:jc w:val="both"/>
        <w:rPr>
          <w:rFonts w:ascii="Times New Roman" w:hAnsi="Times New Roman"/>
          <w:iCs/>
          <w:sz w:val="22"/>
          <w:szCs w:val="22"/>
        </w:rPr>
      </w:pPr>
      <w:proofErr w:type="gramStart"/>
      <w:r w:rsidRPr="00D87E91">
        <w:rPr>
          <w:rFonts w:ascii="Times New Roman" w:hAnsi="Times New Roman"/>
          <w:iCs/>
          <w:sz w:val="22"/>
          <w:szCs w:val="22"/>
        </w:rPr>
        <w:t>h</w:t>
      </w:r>
      <w:proofErr w:type="gramEnd"/>
      <w:r w:rsidRPr="00D87E91">
        <w:rPr>
          <w:rFonts w:ascii="Times New Roman" w:hAnsi="Times New Roman"/>
          <w:iCs/>
          <w:sz w:val="22"/>
          <w:szCs w:val="22"/>
        </w:rPr>
        <w:t xml:space="preserve">) Dönt az átmenetileg szabad pénzeszközök </w:t>
      </w:r>
      <w:proofErr w:type="spellStart"/>
      <w:r w:rsidRPr="00D87E91">
        <w:rPr>
          <w:rFonts w:ascii="Times New Roman" w:hAnsi="Times New Roman"/>
          <w:iCs/>
          <w:sz w:val="22"/>
          <w:szCs w:val="22"/>
        </w:rPr>
        <w:t>betétkénti</w:t>
      </w:r>
      <w:proofErr w:type="spellEnd"/>
      <w:r w:rsidRPr="00D87E91">
        <w:rPr>
          <w:rFonts w:ascii="Times New Roman" w:hAnsi="Times New Roman"/>
          <w:iCs/>
          <w:sz w:val="22"/>
          <w:szCs w:val="22"/>
        </w:rPr>
        <w:t xml:space="preserve"> elhelyezéséről, értékpapír vásárlásáról.</w:t>
      </w:r>
    </w:p>
    <w:p w:rsidR="00F12DAD" w:rsidRPr="00D87E91" w:rsidRDefault="00F12DAD" w:rsidP="00F12DAD">
      <w:pPr>
        <w:overflowPunct/>
        <w:ind w:left="360"/>
        <w:jc w:val="both"/>
        <w:textAlignment w:val="auto"/>
        <w:rPr>
          <w:rStyle w:val="Kiemels2"/>
          <w:rFonts w:ascii="Times New Roman" w:hAnsi="Times New Roman"/>
          <w:b w:val="0"/>
          <w:iCs/>
          <w:sz w:val="22"/>
          <w:szCs w:val="22"/>
        </w:rPr>
      </w:pPr>
      <w:r w:rsidRPr="00D87E91">
        <w:rPr>
          <w:rStyle w:val="Kiemels2"/>
          <w:rFonts w:ascii="Times New Roman" w:hAnsi="Times New Roman"/>
          <w:b w:val="0"/>
          <w:iCs/>
          <w:sz w:val="22"/>
          <w:szCs w:val="22"/>
        </w:rPr>
        <w:t>i) Jóváhagyja az önkormányzat tulajdonában lévő közterületek filmforgatási célú használatára vonatkozó hatósági szerződést.</w:t>
      </w:r>
    </w:p>
    <w:p w:rsidR="00F12DAD" w:rsidRPr="00D87E91" w:rsidRDefault="00F12DAD" w:rsidP="00F12DAD">
      <w:pPr>
        <w:overflowPunct/>
        <w:ind w:left="360"/>
        <w:jc w:val="both"/>
        <w:textAlignment w:val="auto"/>
        <w:rPr>
          <w:rStyle w:val="Kiemels2"/>
          <w:rFonts w:ascii="Times New Roman" w:hAnsi="Times New Roman"/>
          <w:b w:val="0"/>
          <w:iCs/>
          <w:sz w:val="22"/>
          <w:szCs w:val="22"/>
        </w:rPr>
      </w:pPr>
      <w:r w:rsidRPr="00D87E91">
        <w:rPr>
          <w:rStyle w:val="Kiemels2"/>
          <w:rFonts w:ascii="Times New Roman" w:hAnsi="Times New Roman"/>
          <w:b w:val="0"/>
          <w:iCs/>
          <w:sz w:val="22"/>
          <w:szCs w:val="22"/>
        </w:rPr>
        <w:t xml:space="preserve">j) </w:t>
      </w:r>
      <w:r w:rsidRPr="00D87E91">
        <w:rPr>
          <w:rFonts w:ascii="Times New Roman" w:hAnsi="Times New Roman"/>
          <w:bCs/>
          <w:iCs/>
          <w:sz w:val="22"/>
          <w:szCs w:val="22"/>
        </w:rPr>
        <w:t>Dönt a gyermekek védelméről szóló önkormányzati rendelet 2. § (2) bekezdésében meghatározott ügyekben.</w:t>
      </w:r>
    </w:p>
    <w:p w:rsidR="00F12DAD" w:rsidRPr="007D0396" w:rsidRDefault="00F12DAD" w:rsidP="00F12DAD">
      <w:pPr>
        <w:jc w:val="both"/>
        <w:rPr>
          <w:rStyle w:val="Kiemels2"/>
          <w:rFonts w:ascii="Times New Roman" w:hAnsi="Times New Roman"/>
          <w:b w:val="0"/>
          <w:bCs w:val="0"/>
          <w:sz w:val="22"/>
          <w:szCs w:val="22"/>
        </w:rPr>
      </w:pPr>
    </w:p>
    <w:p w:rsidR="00F12DAD" w:rsidRPr="007D0396" w:rsidRDefault="00F12DAD" w:rsidP="00F12DAD">
      <w:pPr>
        <w:overflowPunct/>
        <w:spacing w:after="120"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Pr="007D0396">
        <w:rPr>
          <w:rFonts w:ascii="Times New Roman" w:hAnsi="Times New Roman"/>
          <w:sz w:val="22"/>
          <w:szCs w:val="22"/>
        </w:rPr>
        <w:t>. A jegyzőre átruházott hatáskörök:</w:t>
      </w:r>
    </w:p>
    <w:p w:rsidR="00F12DAD" w:rsidRPr="007D0396" w:rsidRDefault="00F12DAD" w:rsidP="00F12DAD">
      <w:pPr>
        <w:ind w:left="357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a</w:t>
      </w:r>
      <w:proofErr w:type="gramEnd"/>
      <w:r w:rsidRPr="007D0396">
        <w:rPr>
          <w:rFonts w:ascii="Times New Roman" w:hAnsi="Times New Roman"/>
          <w:sz w:val="22"/>
          <w:szCs w:val="22"/>
        </w:rPr>
        <w:t>) Dönt a külön önkormányzati rendeletben meghatározott közösségi együttélés alapvető szabályainak megsértésével kapcsolatos ügyekben.</w:t>
      </w:r>
    </w:p>
    <w:p w:rsidR="00F12DAD" w:rsidRPr="007D0396" w:rsidRDefault="00F12DAD" w:rsidP="00F12DAD">
      <w:pPr>
        <w:ind w:left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</w:t>
      </w:r>
      <w:r w:rsidRPr="007D0396">
        <w:rPr>
          <w:rFonts w:ascii="Times New Roman" w:hAnsi="Times New Roman"/>
          <w:sz w:val="22"/>
          <w:szCs w:val="22"/>
        </w:rPr>
        <w:t>) Első fokon eljár az állattartás helyi szabályairól szóló 6/2016. (VII. 22.) önkormányzati rendelet hatálya alá tartozó önkormányzati hatósági ügyben.</w:t>
      </w:r>
    </w:p>
    <w:p w:rsidR="00F12DAD" w:rsidRPr="007D0396" w:rsidRDefault="00F12DAD" w:rsidP="00F12DAD">
      <w:pPr>
        <w:ind w:left="357"/>
        <w:jc w:val="both"/>
        <w:rPr>
          <w:rFonts w:ascii="Times New Roman" w:hAnsi="Times New Roman"/>
          <w:sz w:val="22"/>
          <w:szCs w:val="22"/>
        </w:rPr>
      </w:pPr>
    </w:p>
    <w:p w:rsidR="00F12DAD" w:rsidRPr="007D0396" w:rsidRDefault="00F12DAD" w:rsidP="00F12DAD">
      <w:pPr>
        <w:tabs>
          <w:tab w:val="center" w:pos="6840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</w:t>
      </w:r>
      <w:r w:rsidRPr="007D0396">
        <w:rPr>
          <w:rFonts w:ascii="Times New Roman" w:hAnsi="Times New Roman"/>
          <w:sz w:val="22"/>
          <w:szCs w:val="22"/>
        </w:rPr>
        <w:t xml:space="preserve">. A </w:t>
      </w:r>
      <w:r>
        <w:rPr>
          <w:rFonts w:ascii="Times New Roman" w:hAnsi="Times New Roman"/>
          <w:sz w:val="22"/>
          <w:szCs w:val="22"/>
        </w:rPr>
        <w:t xml:space="preserve">Szentgotthárd és Térsége Önkormányzati </w:t>
      </w:r>
      <w:r w:rsidRPr="007D0396">
        <w:rPr>
          <w:rFonts w:ascii="Times New Roman" w:hAnsi="Times New Roman"/>
          <w:sz w:val="22"/>
          <w:szCs w:val="22"/>
        </w:rPr>
        <w:t>Társulásra átruházott hatáskörök:</w:t>
      </w:r>
    </w:p>
    <w:p w:rsidR="00F12DAD" w:rsidRPr="007D0396" w:rsidRDefault="00F12DAD" w:rsidP="00F12DAD">
      <w:pPr>
        <w:ind w:left="357"/>
        <w:jc w:val="both"/>
        <w:rPr>
          <w:rFonts w:ascii="Times New Roman" w:hAnsi="Times New Roman"/>
          <w:sz w:val="22"/>
          <w:szCs w:val="22"/>
        </w:rPr>
      </w:pPr>
      <w:proofErr w:type="gramStart"/>
      <w:r w:rsidRPr="007D0396">
        <w:rPr>
          <w:rFonts w:ascii="Times New Roman" w:hAnsi="Times New Roman"/>
          <w:sz w:val="22"/>
          <w:szCs w:val="22"/>
        </w:rPr>
        <w:t>a</w:t>
      </w:r>
      <w:proofErr w:type="gramEnd"/>
      <w:r w:rsidRPr="007D0396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7D0396">
        <w:rPr>
          <w:rFonts w:ascii="Times New Roman" w:hAnsi="Times New Roman"/>
          <w:sz w:val="22"/>
          <w:szCs w:val="22"/>
        </w:rPr>
        <w:t>A</w:t>
      </w:r>
      <w:proofErr w:type="spellEnd"/>
      <w:r w:rsidRPr="007D0396">
        <w:rPr>
          <w:rFonts w:ascii="Times New Roman" w:hAnsi="Times New Roman"/>
          <w:sz w:val="22"/>
          <w:szCs w:val="22"/>
        </w:rPr>
        <w:t xml:space="preserve"> Szentgotthárd és Kistérsége Egyesített Óvodák és Bölcsőde intézmény esetében intézkedik a nemzeti köznevelésről szóló törvényben a fenntartó illetve az önkormányzat számára meghatározott feladatok ellátásáról, gyakorolja a fenntartó jogait és kötelezettségeit.</w:t>
      </w:r>
    </w:p>
    <w:p w:rsidR="00F12DAD" w:rsidRPr="007D0396" w:rsidRDefault="00F12DAD" w:rsidP="00F12DAD">
      <w:pPr>
        <w:ind w:left="357"/>
        <w:jc w:val="both"/>
        <w:rPr>
          <w:rFonts w:ascii="Times New Roman" w:hAnsi="Times New Roman"/>
          <w:sz w:val="22"/>
          <w:szCs w:val="22"/>
        </w:rPr>
      </w:pPr>
      <w:r w:rsidRPr="007D0396">
        <w:rPr>
          <w:rFonts w:ascii="Times New Roman" w:hAnsi="Times New Roman"/>
          <w:sz w:val="22"/>
          <w:szCs w:val="22"/>
        </w:rPr>
        <w:t>b) A Városi Gondozási Központ útján gondoskodik a házi segítségnyújtás, a jelzőrendszeres házi segítségnyújtás, a támogató szolgáltatás és a közösségi pszichiátriai ellátás biztosításáról.</w:t>
      </w:r>
    </w:p>
    <w:p w:rsidR="00F12DAD" w:rsidRPr="007D0396" w:rsidRDefault="00F12DAD" w:rsidP="00F12DAD">
      <w:pPr>
        <w:ind w:left="357"/>
        <w:jc w:val="both"/>
        <w:rPr>
          <w:rFonts w:ascii="Times New Roman" w:hAnsi="Times New Roman"/>
          <w:sz w:val="22"/>
          <w:szCs w:val="22"/>
        </w:rPr>
      </w:pPr>
      <w:r w:rsidRPr="007D0396">
        <w:rPr>
          <w:rFonts w:ascii="Times New Roman" w:hAnsi="Times New Roman"/>
          <w:sz w:val="22"/>
          <w:szCs w:val="22"/>
        </w:rPr>
        <w:t>c) A Család</w:t>
      </w:r>
      <w:r>
        <w:rPr>
          <w:rFonts w:ascii="Times New Roman" w:hAnsi="Times New Roman"/>
          <w:sz w:val="22"/>
          <w:szCs w:val="22"/>
        </w:rPr>
        <w:t>-</w:t>
      </w:r>
      <w:r w:rsidRPr="007D0396">
        <w:rPr>
          <w:rFonts w:ascii="Times New Roman" w:hAnsi="Times New Roman"/>
          <w:sz w:val="22"/>
          <w:szCs w:val="22"/>
        </w:rPr>
        <w:t xml:space="preserve"> és Gyermekjóléti </w:t>
      </w:r>
      <w:r>
        <w:rPr>
          <w:rFonts w:ascii="Times New Roman" w:hAnsi="Times New Roman"/>
          <w:sz w:val="22"/>
          <w:szCs w:val="22"/>
        </w:rPr>
        <w:t>Központ</w:t>
      </w:r>
      <w:r w:rsidRPr="007D0396">
        <w:rPr>
          <w:rFonts w:ascii="Times New Roman" w:hAnsi="Times New Roman"/>
          <w:sz w:val="22"/>
          <w:szCs w:val="22"/>
        </w:rPr>
        <w:t xml:space="preserve"> Szentgotthárd ú</w:t>
      </w:r>
      <w:r>
        <w:rPr>
          <w:rFonts w:ascii="Times New Roman" w:hAnsi="Times New Roman"/>
          <w:sz w:val="22"/>
          <w:szCs w:val="22"/>
        </w:rPr>
        <w:t>tján gondoskodik a család-</w:t>
      </w:r>
      <w:r w:rsidRPr="007D0396">
        <w:rPr>
          <w:rFonts w:ascii="Times New Roman" w:hAnsi="Times New Roman"/>
          <w:sz w:val="22"/>
          <w:szCs w:val="22"/>
        </w:rPr>
        <w:t xml:space="preserve"> és a gyermekjóléti szolgálat alapellátási feladatok biztosításáról.</w:t>
      </w:r>
    </w:p>
    <w:p w:rsidR="00F12DAD" w:rsidRPr="007D0396" w:rsidRDefault="00F12DAD" w:rsidP="00F12DAD">
      <w:pPr>
        <w:ind w:left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d) Kijelöli</w:t>
      </w:r>
      <w:r w:rsidRPr="007D0396">
        <w:rPr>
          <w:rFonts w:ascii="Times New Roman" w:hAnsi="Times New Roman"/>
          <w:sz w:val="22"/>
          <w:szCs w:val="22"/>
        </w:rPr>
        <w:t xml:space="preserve"> az 1993. évi III. törvény 92. § (1) bekezdés b) pontja és az 1997. évi XXXI. törvény 29. § (3) bekezdése szerinti önkormányzatot.</w:t>
      </w:r>
    </w:p>
    <w:p w:rsidR="00F12DAD" w:rsidRPr="007D0396" w:rsidRDefault="00F12DAD" w:rsidP="00F12DAD">
      <w:pPr>
        <w:ind w:left="357"/>
        <w:jc w:val="both"/>
        <w:rPr>
          <w:rFonts w:ascii="Times New Roman" w:hAnsi="Times New Roman"/>
          <w:sz w:val="22"/>
          <w:szCs w:val="22"/>
        </w:rPr>
      </w:pPr>
      <w:proofErr w:type="gramStart"/>
      <w:r w:rsidRPr="007D0396">
        <w:rPr>
          <w:rFonts w:ascii="Times New Roman" w:hAnsi="Times New Roman"/>
          <w:sz w:val="22"/>
          <w:szCs w:val="22"/>
        </w:rPr>
        <w:t>e</w:t>
      </w:r>
      <w:proofErr w:type="gramEnd"/>
      <w:r w:rsidRPr="007D0396">
        <w:rPr>
          <w:rFonts w:ascii="Times New Roman" w:hAnsi="Times New Roman"/>
          <w:sz w:val="22"/>
          <w:szCs w:val="22"/>
        </w:rPr>
        <w:t>) Gondoskodik a belső ellenőrzési feladatok ellátásáról a 370/2011. (XII. 31.) Korm. rendelet alapján.</w:t>
      </w:r>
    </w:p>
    <w:p w:rsidR="00F12DAD" w:rsidRPr="007D0396" w:rsidRDefault="00F12DAD" w:rsidP="00F12DAD">
      <w:pPr>
        <w:ind w:left="357"/>
        <w:jc w:val="both"/>
        <w:rPr>
          <w:rFonts w:ascii="Times New Roman" w:hAnsi="Times New Roman"/>
          <w:sz w:val="22"/>
          <w:szCs w:val="22"/>
        </w:rPr>
      </w:pPr>
      <w:proofErr w:type="gramStart"/>
      <w:r w:rsidRPr="007D0396">
        <w:rPr>
          <w:rFonts w:ascii="Times New Roman" w:hAnsi="Times New Roman"/>
          <w:sz w:val="22"/>
          <w:szCs w:val="22"/>
        </w:rPr>
        <w:t>f</w:t>
      </w:r>
      <w:proofErr w:type="gramEnd"/>
      <w:r w:rsidRPr="007D0396">
        <w:rPr>
          <w:rFonts w:ascii="Times New Roman" w:hAnsi="Times New Roman"/>
          <w:sz w:val="22"/>
          <w:szCs w:val="22"/>
        </w:rPr>
        <w:t>) Ellátja a társulási megállapodásban meghatározott további feladatokat.</w:t>
      </w:r>
    </w:p>
    <w:p w:rsidR="00F12DAD" w:rsidRPr="007D0396" w:rsidRDefault="00F12DAD" w:rsidP="00F12DAD">
      <w:pPr>
        <w:tabs>
          <w:tab w:val="center" w:pos="6840"/>
        </w:tabs>
        <w:jc w:val="both"/>
        <w:rPr>
          <w:rFonts w:ascii="Times New Roman" w:hAnsi="Times New Roman"/>
          <w:sz w:val="22"/>
          <w:szCs w:val="22"/>
        </w:rPr>
      </w:pPr>
    </w:p>
    <w:p w:rsidR="00876EE1" w:rsidRDefault="00876EE1"/>
    <w:sectPr w:rsidR="00876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21"/>
    <w:rsid w:val="007C6021"/>
    <w:rsid w:val="00876EE1"/>
    <w:rsid w:val="00D87E91"/>
    <w:rsid w:val="00F1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45E39-CECE-4001-8947-460D358D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2D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F12D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2584</Characters>
  <Application>Microsoft Office Word</Application>
  <DocSecurity>0</DocSecurity>
  <Lines>21</Lines>
  <Paragraphs>5</Paragraphs>
  <ScaleCrop>false</ScaleCrop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2017-02-17T10:58:00Z</dcterms:created>
  <dcterms:modified xsi:type="dcterms:W3CDTF">2017-02-17T10:59:00Z</dcterms:modified>
</cp:coreProperties>
</file>