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65" w:rsidRPr="00F34265" w:rsidRDefault="00B274FD" w:rsidP="00F34265">
      <w:pPr>
        <w:suppressAutoHyphens w:val="0"/>
        <w:spacing w:after="200" w:line="276" w:lineRule="auto"/>
        <w:jc w:val="right"/>
        <w:rPr>
          <w:rFonts w:eastAsiaTheme="minorHAnsi"/>
        </w:rPr>
      </w:pPr>
      <w:r>
        <w:rPr>
          <w:rFonts w:eastAsiaTheme="minorHAnsi"/>
        </w:rPr>
        <w:t>5. függelék a 12/2017. (III. 30</w:t>
      </w:r>
      <w:r w:rsidR="00F34265" w:rsidRPr="00F34265">
        <w:rPr>
          <w:rFonts w:eastAsiaTheme="minorHAnsi"/>
        </w:rPr>
        <w:t>.) önkormán</w:t>
      </w:r>
      <w:bookmarkStart w:id="0" w:name="_GoBack"/>
      <w:bookmarkEnd w:id="0"/>
      <w:r w:rsidR="00F34265" w:rsidRPr="00F34265">
        <w:rPr>
          <w:rFonts w:eastAsiaTheme="minorHAnsi"/>
        </w:rPr>
        <w:t>yzati rendelethez</w:t>
      </w:r>
    </w:p>
    <w:p w:rsidR="00F34265" w:rsidRPr="00F34265" w:rsidRDefault="00F34265" w:rsidP="00F34265">
      <w:pPr>
        <w:suppressAutoHyphens w:val="0"/>
        <w:jc w:val="center"/>
        <w:rPr>
          <w:rFonts w:eastAsiaTheme="minorHAnsi"/>
          <w:b/>
        </w:rPr>
      </w:pPr>
    </w:p>
    <w:p w:rsidR="00F34265" w:rsidRPr="00F34265" w:rsidRDefault="00F34265" w:rsidP="00F34265">
      <w:pPr>
        <w:suppressAutoHyphens w:val="0"/>
        <w:jc w:val="center"/>
        <w:rPr>
          <w:rFonts w:eastAsiaTheme="minorHAnsi"/>
          <w:b/>
        </w:rPr>
      </w:pPr>
      <w:r w:rsidRPr="00F34265">
        <w:rPr>
          <w:rFonts w:eastAsiaTheme="minorHAnsi"/>
          <w:b/>
        </w:rPr>
        <w:t>A logó és szlogen illusztrációja</w:t>
      </w:r>
    </w:p>
    <w:p w:rsidR="00F34265" w:rsidRPr="00F34265" w:rsidRDefault="00F34265" w:rsidP="00F34265">
      <w:pPr>
        <w:suppressAutoHyphens w:val="0"/>
        <w:jc w:val="center"/>
        <w:rPr>
          <w:rFonts w:eastAsiaTheme="minorHAnsi"/>
          <w:b/>
        </w:rPr>
      </w:pPr>
    </w:p>
    <w:p w:rsidR="00F34265" w:rsidRPr="00F34265" w:rsidRDefault="00F34265" w:rsidP="00F34265">
      <w:pPr>
        <w:numPr>
          <w:ilvl w:val="0"/>
          <w:numId w:val="9"/>
        </w:numPr>
        <w:suppressAutoHyphens w:val="0"/>
        <w:spacing w:after="200" w:line="276" w:lineRule="auto"/>
        <w:contextualSpacing/>
        <w:rPr>
          <w:rFonts w:eastAsiaTheme="minorHAnsi"/>
        </w:rPr>
      </w:pPr>
      <w:r w:rsidRPr="00F34265">
        <w:rPr>
          <w:rFonts w:eastAsiaTheme="minorHAnsi"/>
        </w:rPr>
        <w:t>A logó</w:t>
      </w:r>
    </w:p>
    <w:p w:rsidR="00F34265" w:rsidRPr="00F34265" w:rsidRDefault="00F34265" w:rsidP="00F34265">
      <w:pPr>
        <w:numPr>
          <w:ilvl w:val="1"/>
          <w:numId w:val="9"/>
        </w:numPr>
        <w:suppressAutoHyphens w:val="0"/>
        <w:spacing w:after="200" w:line="276" w:lineRule="auto"/>
        <w:contextualSpacing/>
        <w:rPr>
          <w:rFonts w:eastAsiaTheme="minorHAnsi"/>
        </w:rPr>
      </w:pPr>
      <w:r w:rsidRPr="00F34265">
        <w:rPr>
          <w:rFonts w:eastAsiaTheme="minorHAnsi"/>
        </w:rPr>
        <w:t xml:space="preserve"> A logó ábrázolása</w:t>
      </w: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  <w:r w:rsidRPr="00F34265">
        <w:rPr>
          <w:rFonts w:eastAsiaTheme="minorHAnsi"/>
          <w:b/>
          <w:caps/>
          <w:noProof/>
          <w:u w:val="single"/>
          <w:lang w:eastAsia="hu-HU"/>
        </w:rPr>
        <w:drawing>
          <wp:anchor distT="0" distB="0" distL="114300" distR="114300" simplePos="0" relativeHeight="251659264" behindDoc="0" locked="0" layoutInCell="1" allowOverlap="1" wp14:anchorId="4313A97D" wp14:editId="6459E831">
            <wp:simplePos x="0" y="0"/>
            <wp:positionH relativeFrom="column">
              <wp:posOffset>2225040</wp:posOffset>
            </wp:positionH>
            <wp:positionV relativeFrom="paragraph">
              <wp:posOffset>-157480</wp:posOffset>
            </wp:positionV>
            <wp:extent cx="1717040" cy="2012950"/>
            <wp:effectExtent l="0" t="0" r="0" b="63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5250" r="3076" b="5505"/>
                    <a:stretch/>
                  </pic:blipFill>
                  <pic:spPr bwMode="auto">
                    <a:xfrm>
                      <a:off x="0" y="0"/>
                      <a:ext cx="171704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numPr>
          <w:ilvl w:val="1"/>
          <w:numId w:val="9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 xml:space="preserve"> A logó leírása</w:t>
      </w: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Szerepel benne a város címere, de vonalvezetését tekintve körvonala egyszerűsített, ívelt, szimmetrikus pajzs felette koronával ellátva. Színeit kék és szürke árnyalatok alkotják.</w:t>
      </w: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A pajzs alapszíne kék, melyben fehéren jelennek meg a város címerének elemei, Szent István első vértanúnak lebegő alakja sötétebb szürke miseingben ábrázolt, míg feje körül világosszürke dicsfénykoszorú körvonalazódik. Ezt a világosszürke színt kapta a vértanú miseingjének gallér része is. A pajzs feletti, Szabad Királyi Várost jelképező korona a Szent István vértanú miseingjével egyező szürke színt kapta.</w:t>
      </w: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 xml:space="preserve">A korona és a pajzs alakzata alatt a pajzzsal egyező kék színben megjelenik a Győr felirat nagybetűkkel és egyedi, letisztult tipográfiával (melynek alapját a </w:t>
      </w:r>
      <w:proofErr w:type="spellStart"/>
      <w:r w:rsidRPr="00F34265">
        <w:rPr>
          <w:rFonts w:eastAsiaTheme="minorHAnsi"/>
        </w:rPr>
        <w:t>Regalis</w:t>
      </w:r>
      <w:proofErr w:type="spellEnd"/>
      <w:r w:rsidRPr="00F34265">
        <w:rPr>
          <w:rFonts w:eastAsiaTheme="minorHAnsi"/>
        </w:rPr>
        <w:t xml:space="preserve"> betűtípus adja).</w:t>
      </w: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 xml:space="preserve">A gyakorlati felhasználást figyelembe véve a legtöbb esetben a négy </w:t>
      </w:r>
      <w:proofErr w:type="gramStart"/>
      <w:r w:rsidRPr="00F34265">
        <w:rPr>
          <w:rFonts w:eastAsiaTheme="minorHAnsi"/>
        </w:rPr>
        <w:t>szín nyomás</w:t>
      </w:r>
      <w:proofErr w:type="gramEnd"/>
      <w:r w:rsidRPr="00F34265">
        <w:rPr>
          <w:rFonts w:eastAsiaTheme="minorHAnsi"/>
        </w:rPr>
        <w:t xml:space="preserve"> javasolt. Elsődlegesen használható háttérszínek a fehértől a 35% feketéig terjednek.</w:t>
      </w: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A logó színeinek Pantone, CMYK és RGB kódokkal történő azonosítása:</w:t>
      </w:r>
    </w:p>
    <w:p w:rsidR="00F34265" w:rsidRPr="00F34265" w:rsidRDefault="00F34265" w:rsidP="00F34265">
      <w:pPr>
        <w:suppressAutoHyphens w:val="0"/>
        <w:ind w:left="1080"/>
        <w:contextualSpacing/>
        <w:jc w:val="both"/>
        <w:rPr>
          <w:rFonts w:eastAsia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925"/>
      </w:tblGrid>
      <w:tr w:rsidR="00F34265" w:rsidRPr="00F34265" w:rsidTr="00021326">
        <w:tc>
          <w:tcPr>
            <w:tcW w:w="392" w:type="dxa"/>
          </w:tcPr>
          <w:p w:rsidR="00F34265" w:rsidRPr="00F34265" w:rsidRDefault="00F34265" w:rsidP="00F34265">
            <w:pPr>
              <w:suppressAutoHyphens w:val="0"/>
              <w:jc w:val="both"/>
            </w:pPr>
          </w:p>
        </w:tc>
        <w:tc>
          <w:tcPr>
            <w:tcW w:w="3969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proofErr w:type="gramStart"/>
            <w:r w:rsidRPr="00F34265">
              <w:rPr>
                <w:b/>
              </w:rPr>
              <w:t>A.</w:t>
            </w:r>
            <w:proofErr w:type="gramEnd"/>
            <w:r w:rsidRPr="00F34265">
              <w:rPr>
                <w:b/>
              </w:rPr>
              <w:t xml:space="preserve"> A logó eleme</w:t>
            </w:r>
          </w:p>
        </w:tc>
        <w:tc>
          <w:tcPr>
            <w:tcW w:w="4925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r w:rsidRPr="00F34265">
              <w:rPr>
                <w:b/>
              </w:rPr>
              <w:t xml:space="preserve">B. </w:t>
            </w:r>
            <w:proofErr w:type="gramStart"/>
            <w:r w:rsidRPr="00F34265">
              <w:rPr>
                <w:b/>
              </w:rPr>
              <w:t>A</w:t>
            </w:r>
            <w:proofErr w:type="gramEnd"/>
            <w:r w:rsidRPr="00F34265">
              <w:rPr>
                <w:b/>
              </w:rPr>
              <w:t xml:space="preserve"> színkód</w:t>
            </w:r>
          </w:p>
        </w:tc>
      </w:tr>
      <w:tr w:rsidR="00F34265" w:rsidRPr="00F34265" w:rsidTr="00021326">
        <w:tc>
          <w:tcPr>
            <w:tcW w:w="39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1.</w:t>
            </w:r>
          </w:p>
        </w:tc>
        <w:tc>
          <w:tcPr>
            <w:tcW w:w="3969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pajzs és Győr felirat</w:t>
            </w:r>
          </w:p>
        </w:tc>
        <w:tc>
          <w:tcPr>
            <w:tcW w:w="4925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 xml:space="preserve">Pantone 300; CMYK 90, 50, 0, </w:t>
            </w:r>
            <w:proofErr w:type="spellStart"/>
            <w:r w:rsidRPr="00F34265">
              <w:t>0</w:t>
            </w:r>
            <w:proofErr w:type="spellEnd"/>
            <w:r w:rsidRPr="00F34265">
              <w:t>; RGB 60, 110, 180</w:t>
            </w:r>
          </w:p>
        </w:tc>
      </w:tr>
      <w:tr w:rsidR="00F34265" w:rsidRPr="00F34265" w:rsidTr="00021326">
        <w:tc>
          <w:tcPr>
            <w:tcW w:w="39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2.</w:t>
            </w:r>
          </w:p>
        </w:tc>
        <w:tc>
          <w:tcPr>
            <w:tcW w:w="3969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Szent István vértanú miseingje és a pajzs feletti korona</w:t>
            </w:r>
          </w:p>
        </w:tc>
        <w:tc>
          <w:tcPr>
            <w:tcW w:w="4925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 xml:space="preserve">Pantone </w:t>
            </w:r>
            <w:proofErr w:type="spellStart"/>
            <w:r w:rsidRPr="00F34265">
              <w:t>Cool</w:t>
            </w:r>
            <w:proofErr w:type="spellEnd"/>
            <w:r w:rsidRPr="00F34265">
              <w:t xml:space="preserve"> Gray 7; CMYK 0,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50; RGB 155, </w:t>
            </w:r>
            <w:proofErr w:type="spellStart"/>
            <w:r w:rsidRPr="00F34265">
              <w:t>155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155</w:t>
            </w:r>
            <w:proofErr w:type="spellEnd"/>
          </w:p>
        </w:tc>
      </w:tr>
      <w:tr w:rsidR="00F34265" w:rsidRPr="00F34265" w:rsidTr="00021326">
        <w:tc>
          <w:tcPr>
            <w:tcW w:w="39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3.</w:t>
            </w:r>
          </w:p>
        </w:tc>
        <w:tc>
          <w:tcPr>
            <w:tcW w:w="3969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Szent István vértanunk miseingjének gallér része, illetve a körülötte lévő dicsfénykoszorú</w:t>
            </w:r>
          </w:p>
        </w:tc>
        <w:tc>
          <w:tcPr>
            <w:tcW w:w="4925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 xml:space="preserve">Pantone </w:t>
            </w:r>
            <w:proofErr w:type="spellStart"/>
            <w:r w:rsidRPr="00F34265">
              <w:t>Cool</w:t>
            </w:r>
            <w:proofErr w:type="spellEnd"/>
            <w:r w:rsidRPr="00F34265">
              <w:t xml:space="preserve"> Gray 1; CMYK 0,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20; RGB 217, </w:t>
            </w:r>
            <w:proofErr w:type="spellStart"/>
            <w:r w:rsidRPr="00F34265">
              <w:t>217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217</w:t>
            </w:r>
            <w:proofErr w:type="spellEnd"/>
          </w:p>
        </w:tc>
      </w:tr>
    </w:tbl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A sötét tónusú háttereken használható a logó negatív (fehér változata).</w:t>
      </w: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  <w:r w:rsidRPr="00F34265">
        <w:rPr>
          <w:rFonts w:eastAsiaTheme="minorHAnsi"/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D4BA2BE" wp14:editId="29AF0B39">
            <wp:simplePos x="0" y="0"/>
            <wp:positionH relativeFrom="column">
              <wp:posOffset>2487295</wp:posOffset>
            </wp:positionH>
            <wp:positionV relativeFrom="paragraph">
              <wp:posOffset>-86360</wp:posOffset>
            </wp:positionV>
            <wp:extent cx="82677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0903" y="21453"/>
                <wp:lineTo x="20903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2"/>
      </w:tblGrid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r w:rsidRPr="00F34265">
              <w:rPr>
                <w:b/>
              </w:rPr>
              <w:t>A. A logó eleme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r w:rsidRPr="00F34265">
              <w:rPr>
                <w:b/>
              </w:rPr>
              <w:t xml:space="preserve">B. </w:t>
            </w:r>
            <w:proofErr w:type="gramStart"/>
            <w:r w:rsidRPr="00F34265">
              <w:rPr>
                <w:b/>
              </w:rPr>
              <w:t>A</w:t>
            </w:r>
            <w:proofErr w:type="gramEnd"/>
            <w:r w:rsidRPr="00F34265">
              <w:rPr>
                <w:b/>
              </w:rPr>
              <w:t xml:space="preserve"> színkód</w:t>
            </w:r>
          </w:p>
        </w:tc>
      </w:tr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1.</w:t>
            </w: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„fehér”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 xml:space="preserve">CMYK 0,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; RGB 255, </w:t>
            </w:r>
            <w:proofErr w:type="spellStart"/>
            <w:r w:rsidRPr="00F34265">
              <w:t>255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255</w:t>
            </w:r>
            <w:proofErr w:type="spellEnd"/>
          </w:p>
        </w:tc>
      </w:tr>
    </w:tbl>
    <w:p w:rsidR="00F34265" w:rsidRPr="00F34265" w:rsidRDefault="00F34265" w:rsidP="00F34265">
      <w:pPr>
        <w:suppressAutoHyphens w:val="0"/>
        <w:jc w:val="both"/>
        <w:rPr>
          <w:rFonts w:eastAsiaTheme="minorHAnsi"/>
        </w:rPr>
      </w:pPr>
    </w:p>
    <w:p w:rsidR="00F34265" w:rsidRPr="00F34265" w:rsidRDefault="00F34265" w:rsidP="00F34265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Szükség esetén használható a logó egyszínű (fekete) változata, valamint ennek százalékos értékei CMYK és RGB kódokban kifejezve</w:t>
      </w:r>
    </w:p>
    <w:p w:rsidR="00F34265" w:rsidRPr="00F34265" w:rsidRDefault="00F34265" w:rsidP="00F34265">
      <w:pPr>
        <w:suppressAutoHyphens w:val="0"/>
        <w:ind w:left="1080"/>
        <w:contextualSpacing/>
        <w:jc w:val="both"/>
        <w:rPr>
          <w:rFonts w:eastAsiaTheme="minorHAnsi"/>
        </w:rPr>
      </w:pPr>
    </w:p>
    <w:tbl>
      <w:tblPr>
        <w:tblStyle w:val="Rcsostblzat"/>
        <w:tblpPr w:leftFromText="141" w:rightFromText="141" w:vertAnchor="text" w:horzAnchor="margin" w:tblpY="411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2"/>
      </w:tblGrid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r w:rsidRPr="00F34265">
              <w:rPr>
                <w:b/>
              </w:rPr>
              <w:t>A. A logó eleme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center"/>
              <w:rPr>
                <w:b/>
              </w:rPr>
            </w:pPr>
            <w:r w:rsidRPr="00F34265">
              <w:rPr>
                <w:b/>
              </w:rPr>
              <w:t xml:space="preserve">B. </w:t>
            </w:r>
            <w:proofErr w:type="gramStart"/>
            <w:r w:rsidRPr="00F34265">
              <w:rPr>
                <w:b/>
              </w:rPr>
              <w:t>A</w:t>
            </w:r>
            <w:proofErr w:type="gramEnd"/>
            <w:r w:rsidRPr="00F34265">
              <w:rPr>
                <w:b/>
              </w:rPr>
              <w:t xml:space="preserve"> színkód</w:t>
            </w:r>
          </w:p>
        </w:tc>
      </w:tr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1.</w:t>
            </w: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„fekete”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 xml:space="preserve">CMYK 0,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100; RGB 0, 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0</w:t>
            </w:r>
            <w:proofErr w:type="spellEnd"/>
          </w:p>
        </w:tc>
      </w:tr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2.</w:t>
            </w: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„világosszürke”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CMYK 0,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,0, 20; RGB 217, </w:t>
            </w:r>
            <w:proofErr w:type="spellStart"/>
            <w:r w:rsidRPr="00F34265">
              <w:t>217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217</w:t>
            </w:r>
            <w:proofErr w:type="spellEnd"/>
          </w:p>
        </w:tc>
      </w:tr>
      <w:tr w:rsidR="00F34265" w:rsidRPr="00F34265" w:rsidTr="00021326">
        <w:tc>
          <w:tcPr>
            <w:tcW w:w="534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3.</w:t>
            </w:r>
          </w:p>
        </w:tc>
        <w:tc>
          <w:tcPr>
            <w:tcW w:w="4110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„sötétebb szürke”</w:t>
            </w:r>
          </w:p>
        </w:tc>
        <w:tc>
          <w:tcPr>
            <w:tcW w:w="4642" w:type="dxa"/>
          </w:tcPr>
          <w:p w:rsidR="00F34265" w:rsidRPr="00F34265" w:rsidRDefault="00F34265" w:rsidP="00F34265">
            <w:pPr>
              <w:suppressAutoHyphens w:val="0"/>
              <w:jc w:val="both"/>
            </w:pPr>
            <w:r w:rsidRPr="00F34265">
              <w:t>CMYK 0,</w:t>
            </w:r>
            <w:proofErr w:type="spellStart"/>
            <w:r w:rsidRPr="00F34265">
              <w:t>0</w:t>
            </w:r>
            <w:proofErr w:type="spellEnd"/>
            <w:r w:rsidRPr="00F34265">
              <w:t xml:space="preserve">, 0, 50; RGB 155, </w:t>
            </w:r>
            <w:proofErr w:type="spellStart"/>
            <w:r w:rsidRPr="00F34265">
              <w:t>155</w:t>
            </w:r>
            <w:proofErr w:type="spellEnd"/>
            <w:r w:rsidRPr="00F34265">
              <w:t xml:space="preserve">, </w:t>
            </w:r>
            <w:proofErr w:type="spellStart"/>
            <w:r w:rsidRPr="00F34265">
              <w:t>155</w:t>
            </w:r>
            <w:proofErr w:type="spellEnd"/>
          </w:p>
        </w:tc>
      </w:tr>
    </w:tbl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  <w:r w:rsidRPr="00F34265">
        <w:rPr>
          <w:rFonts w:eastAsiaTheme="minorHAnsi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861B3B" wp14:editId="44CF7B54">
            <wp:simplePos x="0" y="0"/>
            <wp:positionH relativeFrom="column">
              <wp:posOffset>1200785</wp:posOffset>
            </wp:positionH>
            <wp:positionV relativeFrom="paragraph">
              <wp:posOffset>41910</wp:posOffset>
            </wp:positionV>
            <wp:extent cx="2995295" cy="2321560"/>
            <wp:effectExtent l="0" t="0" r="0" b="254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6"/>
                    <a:stretch/>
                  </pic:blipFill>
                  <pic:spPr bwMode="auto">
                    <a:xfrm>
                      <a:off x="0" y="0"/>
                      <a:ext cx="299529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ind w:left="720"/>
        <w:contextualSpacing/>
        <w:jc w:val="both"/>
        <w:rPr>
          <w:rFonts w:eastAsiaTheme="minorHAnsi"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  <w:b/>
        </w:rPr>
      </w:pPr>
    </w:p>
    <w:p w:rsidR="00F34265" w:rsidRPr="00F34265" w:rsidRDefault="00F34265" w:rsidP="00F34265">
      <w:pPr>
        <w:suppressAutoHyphens w:val="0"/>
        <w:jc w:val="both"/>
        <w:rPr>
          <w:rFonts w:eastAsiaTheme="minorHAnsi"/>
          <w:b/>
        </w:rPr>
      </w:pPr>
      <w:r w:rsidRPr="00F34265">
        <w:rPr>
          <w:rFonts w:eastAsiaTheme="minorHAnsi"/>
          <w:b/>
        </w:rPr>
        <w:t>2. Szlogenek</w:t>
      </w:r>
    </w:p>
    <w:p w:rsidR="00F34265" w:rsidRPr="00F34265" w:rsidRDefault="00F34265" w:rsidP="00F34265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 xml:space="preserve">„A jövő Győrben épül” – </w:t>
      </w:r>
      <w:proofErr w:type="gramStart"/>
      <w:r w:rsidRPr="00F34265">
        <w:rPr>
          <w:rFonts w:eastAsiaTheme="minorHAnsi"/>
        </w:rPr>
        <w:t>A</w:t>
      </w:r>
      <w:proofErr w:type="gramEnd"/>
      <w:r w:rsidRPr="00F34265">
        <w:rPr>
          <w:rFonts w:eastAsiaTheme="minorHAnsi"/>
        </w:rPr>
        <w:t xml:space="preserve"> várost a dinamikus fejlődés és innováció jellemzi, ezért ezt a szlogent az oktatás és gazdaság területén, valamint Győr Megyei Jogú Város Önkormányzatának általános szlogenjeként tudatos koncepció részeként használja Győr Megyei Jogú Város Önkormányzata, a Széchenyi István Egyetem és az Audi Hungaria </w:t>
      </w:r>
      <w:proofErr w:type="spellStart"/>
      <w:r w:rsidRPr="00F34265">
        <w:rPr>
          <w:rFonts w:eastAsiaTheme="minorHAnsi"/>
        </w:rPr>
        <w:t>Zrt</w:t>
      </w:r>
      <w:proofErr w:type="spellEnd"/>
      <w:r w:rsidRPr="00F34265">
        <w:rPr>
          <w:rFonts w:eastAsiaTheme="minorHAnsi"/>
        </w:rPr>
        <w:t>. Ez a szlogen alkalmas arra, hogy segítségével még több gazdasági társaság, hallgató, munkavállaló vagy az innováció területén tevékenykedő vállalkozás kerüljön megszólításra hosszú távon.</w:t>
      </w:r>
    </w:p>
    <w:p w:rsidR="00F34265" w:rsidRPr="00F34265" w:rsidRDefault="00F34265" w:rsidP="00F34265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„Egy város, ezer élmény” – Győr turisztikai, sport és kulturális szlogenje, mely megfelelő módon fejezi ki azt a sokszínűséget, melyet a kisalföldi megyeszékhely magában rejt, legyen szó a kultúra, a sport területéről vagy a város épített értékeiről.</w:t>
      </w:r>
    </w:p>
    <w:p w:rsidR="00F34265" w:rsidRPr="00F34265" w:rsidRDefault="00F34265" w:rsidP="00F34265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 xml:space="preserve">A szlogenek alkalmazása a </w:t>
      </w:r>
      <w:proofErr w:type="spellStart"/>
      <w:r w:rsidRPr="00F34265">
        <w:rPr>
          <w:rFonts w:eastAsiaTheme="minorHAnsi"/>
        </w:rPr>
        <w:t>Myriad</w:t>
      </w:r>
      <w:proofErr w:type="spellEnd"/>
      <w:r w:rsidRPr="00F34265">
        <w:rPr>
          <w:rFonts w:eastAsiaTheme="minorHAnsi"/>
        </w:rPr>
        <w:t xml:space="preserve"> Pro </w:t>
      </w:r>
      <w:proofErr w:type="spellStart"/>
      <w:r w:rsidRPr="00F34265">
        <w:rPr>
          <w:rFonts w:eastAsiaTheme="minorHAnsi"/>
        </w:rPr>
        <w:t>Light</w:t>
      </w:r>
      <w:proofErr w:type="spellEnd"/>
      <w:r w:rsidRPr="00F34265">
        <w:rPr>
          <w:rFonts w:eastAsiaTheme="minorHAnsi"/>
        </w:rPr>
        <w:t xml:space="preserve"> betűtípussal történik az új logóban megjelenített sötétszürke (CMYK 0,</w:t>
      </w:r>
      <w:proofErr w:type="spellStart"/>
      <w:r w:rsidRPr="00F34265">
        <w:rPr>
          <w:rFonts w:eastAsiaTheme="minorHAnsi"/>
        </w:rPr>
        <w:t>0</w:t>
      </w:r>
      <w:proofErr w:type="spellEnd"/>
      <w:r w:rsidRPr="00F34265">
        <w:rPr>
          <w:rFonts w:eastAsiaTheme="minorHAnsi"/>
        </w:rPr>
        <w:t xml:space="preserve">, 0, 50; RGB 155, </w:t>
      </w:r>
      <w:proofErr w:type="spellStart"/>
      <w:r w:rsidRPr="00F34265">
        <w:rPr>
          <w:rFonts w:eastAsiaTheme="minorHAnsi"/>
        </w:rPr>
        <w:t>155</w:t>
      </w:r>
      <w:proofErr w:type="spellEnd"/>
      <w:r w:rsidRPr="00F34265">
        <w:rPr>
          <w:rFonts w:eastAsiaTheme="minorHAnsi"/>
        </w:rPr>
        <w:t xml:space="preserve">, </w:t>
      </w:r>
      <w:proofErr w:type="spellStart"/>
      <w:r w:rsidRPr="00F34265">
        <w:rPr>
          <w:rFonts w:eastAsiaTheme="minorHAnsi"/>
        </w:rPr>
        <w:t>155</w:t>
      </w:r>
      <w:proofErr w:type="spellEnd"/>
      <w:r w:rsidRPr="00F34265">
        <w:rPr>
          <w:rFonts w:eastAsiaTheme="minorHAnsi"/>
        </w:rPr>
        <w:t>) színnel, amennyiben ezt a háttérszín lehetővé teszi.</w:t>
      </w:r>
    </w:p>
    <w:p w:rsidR="00F34265" w:rsidRPr="00F34265" w:rsidRDefault="00F34265" w:rsidP="00F34265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Theme="minorHAnsi"/>
        </w:rPr>
      </w:pPr>
      <w:r w:rsidRPr="00F34265">
        <w:rPr>
          <w:rFonts w:eastAsiaTheme="minorHAnsi"/>
        </w:rPr>
        <w:t>A logóban megjelenő színek mellé „</w:t>
      </w:r>
      <w:proofErr w:type="gramStart"/>
      <w:r w:rsidRPr="00F34265">
        <w:rPr>
          <w:rFonts w:eastAsiaTheme="minorHAnsi"/>
        </w:rPr>
        <w:t>A</w:t>
      </w:r>
      <w:proofErr w:type="gramEnd"/>
      <w:r w:rsidRPr="00F34265">
        <w:rPr>
          <w:rFonts w:eastAsiaTheme="minorHAnsi"/>
        </w:rPr>
        <w:t xml:space="preserve"> jövő Győrben épül.” szlogen használata esetén az új logó színében megjelenő szürke szín árnyalatai alkalmazhatók, míg az „Egy város, ezer élmény” logóhasználat esetén a sárga egy árnyalata (Pantone 109; CMYK 0,30,100, 0; RGB 250, 187, 0), ezzel is tükrözve a város sokszínűségét.</w:t>
      </w:r>
    </w:p>
    <w:p w:rsidR="00F34265" w:rsidRPr="00F34265" w:rsidRDefault="00F34265" w:rsidP="00F34265">
      <w:pPr>
        <w:suppressAutoHyphens w:val="0"/>
        <w:ind w:left="1080"/>
        <w:contextualSpacing/>
        <w:jc w:val="both"/>
        <w:rPr>
          <w:rFonts w:eastAsiaTheme="minorHAnsi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A83595F"/>
    <w:multiLevelType w:val="hybridMultilevel"/>
    <w:tmpl w:val="3068608C"/>
    <w:lvl w:ilvl="0" w:tplc="79788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46C5A"/>
    <w:multiLevelType w:val="hybridMultilevel"/>
    <w:tmpl w:val="4BFA3130"/>
    <w:lvl w:ilvl="0" w:tplc="D1D4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9C2BFE"/>
    <w:multiLevelType w:val="multilevel"/>
    <w:tmpl w:val="E1201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5"/>
    <w:rsid w:val="001A3548"/>
    <w:rsid w:val="008B43CC"/>
    <w:rsid w:val="00A918D5"/>
    <w:rsid w:val="00B274FD"/>
    <w:rsid w:val="00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18D5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jc w:val="both"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outlineLvl w:val="4"/>
    </w:pPr>
    <w:rPr>
      <w:b/>
      <w:bCs/>
      <w:i/>
      <w:iCs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pacing w:after="240"/>
      <w:jc w:val="center"/>
      <w:outlineLvl w:val="5"/>
    </w:pPr>
    <w:rPr>
      <w:b/>
      <w:bCs/>
      <w:i/>
      <w:iCs/>
      <w:shadow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F342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18D5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jc w:val="both"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outlineLvl w:val="4"/>
    </w:pPr>
    <w:rPr>
      <w:b/>
      <w:bCs/>
      <w:i/>
      <w:iCs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pacing w:after="240"/>
      <w:jc w:val="center"/>
      <w:outlineLvl w:val="5"/>
    </w:pPr>
    <w:rPr>
      <w:b/>
      <w:bCs/>
      <w:i/>
      <w:iCs/>
      <w:shadow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F342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2019-08-07T10:41:00Z</dcterms:created>
  <dcterms:modified xsi:type="dcterms:W3CDTF">2019-08-07T12:11:00Z</dcterms:modified>
</cp:coreProperties>
</file>