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0E" w:rsidRPr="00040E00" w:rsidRDefault="0091590E" w:rsidP="0091590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b/>
          <w:sz w:val="24"/>
          <w:szCs w:val="24"/>
          <w:lang w:eastAsia="hu-HU"/>
        </w:rPr>
        <w:t>Általános indokolás</w:t>
      </w:r>
    </w:p>
    <w:p w:rsidR="0091590E" w:rsidRPr="00040E00" w:rsidRDefault="0091590E" w:rsidP="009159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A rendelet megalkotását a nagyobbrészt állami forrásból megvalósuló, szociális alapú tűzifa támogatásra vonatkozó belügyminiszteri rendelet indokolja.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 xml:space="preserve">Ennek alapján az önkormányzat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2020. évi szociális célú tüzelőanyag pályázat alapján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erdei  304</w:t>
      </w:r>
      <w:proofErr w:type="gramEnd"/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 xml:space="preserve"> m3 tűzifa megvásárlásához kap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ott</w:t>
      </w: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6.177.280</w:t>
      </w: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.-Ft összegű támogatást. Ezen támogatásból megvásárlásra kerülő tűzifa elosztásának szabályairól rendeletben szükséges intézkedni.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 xml:space="preserve">A rendeletben a jogosultság feltételeit arra tekintettel határoztuk meg, hogy lehetőség szerint a szociálisan legrászorultabb személyek részesüljenek az ingyenes </w:t>
      </w:r>
      <w:proofErr w:type="gramStart"/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tűzifa juttatásban</w:t>
      </w:r>
      <w:proofErr w:type="gramEnd"/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Az ellenőrzés, valamint a szankcionálás lehetősége azt a célt szolgálja, hogy a jogosultak saját szükségletükre használják fel a természetben nyújtott támogatást.</w:t>
      </w: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Default="0091590E" w:rsidP="0091590E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b/>
          <w:sz w:val="24"/>
          <w:szCs w:val="24"/>
          <w:lang w:eastAsia="hu-HU"/>
        </w:rPr>
        <w:t>Részletes indokolás</w:t>
      </w:r>
    </w:p>
    <w:p w:rsidR="0091590E" w:rsidRPr="00040E00" w:rsidRDefault="0091590E" w:rsidP="0091590E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91590E" w:rsidRPr="00040E00" w:rsidRDefault="0091590E" w:rsidP="0091590E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1.§</w:t>
      </w:r>
      <w:proofErr w:type="spellStart"/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-hoz</w:t>
      </w:r>
      <w:proofErr w:type="spellEnd"/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rendelet célja, hatálya, a</w:t>
      </w: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 xml:space="preserve"> rendelet alkalmazása során a szociális tárgyú jogszabályokat az e rendeletben foglalt eltérésekkel kell alkalmazni.</w:t>
      </w:r>
    </w:p>
    <w:p w:rsidR="0091590E" w:rsidRDefault="0091590E" w:rsidP="0091590E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Pr="00040E00" w:rsidRDefault="0091590E" w:rsidP="0091590E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2.§.</w:t>
      </w: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A szociális célú tűzifára a Fülöp községben élő és itt bejelentett lakcímmel rendelkező kérelmező lehet csak jogosult. Lakóingatlanonként csak egy kérelmező támogatható és hogy egy személy csak egy háztartásban vehető figyelembe.</w:t>
      </w: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Pr="00040E00" w:rsidRDefault="0091590E" w:rsidP="0091590E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3.§.</w:t>
      </w: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A jogosultsági feltételek részletes szabályairól rendelkezik. E feltételeknek együttesen kell fennállniuk.</w:t>
      </w:r>
    </w:p>
    <w:p w:rsidR="0091590E" w:rsidRDefault="0091590E" w:rsidP="0091590E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4.§.</w:t>
      </w:r>
    </w:p>
    <w:p w:rsidR="0091590E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támogatás megállapítása során előnyben részesítendők köre.</w:t>
      </w:r>
    </w:p>
    <w:p w:rsidR="0091590E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Pr="00040E00" w:rsidRDefault="0091590E" w:rsidP="0091590E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5.§</w:t>
      </w:r>
    </w:p>
    <w:p w:rsidR="0091590E" w:rsidRPr="00040E00" w:rsidRDefault="0091590E" w:rsidP="0091590E">
      <w:pPr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A kérelmek benyújtásának időtartamának meghatározásáról rendelkezik.</w:t>
      </w: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Pr="00040E00" w:rsidRDefault="0091590E" w:rsidP="0091590E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.§.</w:t>
      </w: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Pr="00040E00" w:rsidRDefault="0091590E" w:rsidP="0091590E">
      <w:pPr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Környezettanulmány végzésének lehetőségét biztosítja ez a rendelkezés.</w:t>
      </w: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Pr="00040E00" w:rsidRDefault="0091590E" w:rsidP="0091590E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.§.</w:t>
      </w: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A jogtalan felhasználás, illetve a jogtalan igénylés esetére vonatkozóan tartalmaz rendelkezést.</w:t>
      </w:r>
    </w:p>
    <w:p w:rsidR="0091590E" w:rsidRPr="00040E00" w:rsidRDefault="0091590E" w:rsidP="0091590E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.§.</w:t>
      </w:r>
    </w:p>
    <w:p w:rsidR="0091590E" w:rsidRPr="00040E00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1590E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 xml:space="preserve">Hatályba lépésről, illetve a hatályon kívül helyezésről rendelkezik </w:t>
      </w:r>
      <w:proofErr w:type="gramStart"/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>ezen</w:t>
      </w:r>
      <w:proofErr w:type="gramEnd"/>
      <w:r w:rsidRPr="00040E00">
        <w:rPr>
          <w:rFonts w:ascii="Times New Roman" w:eastAsia="Times New Roman" w:hAnsi="Times New Roman"/>
          <w:sz w:val="24"/>
          <w:szCs w:val="24"/>
          <w:lang w:eastAsia="hu-HU"/>
        </w:rPr>
        <w:t xml:space="preserve"> paragrafus, az elszámolás határideéhez igazodva.</w:t>
      </w:r>
    </w:p>
    <w:p w:rsidR="0091590E" w:rsidRPr="00F71F36" w:rsidRDefault="0091590E" w:rsidP="0091590E">
      <w:pPr>
        <w:spacing w:after="200" w:line="276" w:lineRule="auto"/>
        <w:jc w:val="center"/>
        <w:rPr>
          <w:rFonts w:ascii="Times New Roman" w:hAnsi="Times New Roman"/>
          <w:b/>
        </w:rPr>
      </w:pPr>
      <w:r w:rsidRPr="00F71F36">
        <w:rPr>
          <w:rFonts w:ascii="Times New Roman" w:hAnsi="Times New Roman"/>
          <w:b/>
        </w:rPr>
        <w:lastRenderedPageBreak/>
        <w:t>Hatásvizsgálati lap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9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6790"/>
      </w:tblGrid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Rendelet-tervezet megnevezése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Fülöp Község Önkormányzat Képviselő-testületének</w:t>
            </w:r>
            <w:proofErr w:type="gramStart"/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…….</w:t>
            </w:r>
            <w:proofErr w:type="gramEnd"/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/20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20</w:t>
            </w: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. (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I</w:t>
            </w: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X…..) önkormányzati rendelet-tervezete  A szociális célú </w:t>
            </w:r>
            <w:proofErr w:type="gramStart"/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tűzifa juttatásról</w:t>
            </w:r>
            <w:proofErr w:type="gramEnd"/>
          </w:p>
          <w:p w:rsidR="0091590E" w:rsidRPr="00524B82" w:rsidRDefault="0091590E" w:rsidP="00DB13EB">
            <w:pPr>
              <w:spacing w:after="0" w:line="240" w:lineRule="auto"/>
              <w:ind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Társadalmi hatás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lang w:eastAsia="hu-HU"/>
              </w:rPr>
              <w:t>A rendelet a Fülöp Községben bejelentett lakcímmel rendelkező személyeket támogatja, akiknek a téli tüzelő megvásárlása jelentős, akár létfenntartásukat is veszélyeztető anyagi terhet jelent.</w:t>
            </w:r>
          </w:p>
        </w:tc>
      </w:tr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Gazdasági hatás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Nincs.</w:t>
            </w:r>
          </w:p>
        </w:tc>
      </w:tr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Költségvetési hatás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A rendelet végrehajtása </w:t>
            </w:r>
            <w:proofErr w:type="gramStart"/>
            <w:r w:rsidRPr="00524B82">
              <w:rPr>
                <w:rFonts w:ascii="Times New Roman" w:eastAsia="Times New Roman" w:hAnsi="Times New Roman"/>
                <w:lang w:eastAsia="hu-HU"/>
              </w:rPr>
              <w:t>előreláthatólag  a</w:t>
            </w:r>
            <w:proofErr w:type="gramEnd"/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 megvásárolt fa településre történő szállítását és a rászorultakhoz történő kiszállítás költségét jelenti, mint pénzügyi tehertételt az önkormányzat 20</w:t>
            </w:r>
            <w:r>
              <w:rPr>
                <w:rFonts w:ascii="Times New Roman" w:eastAsia="Times New Roman" w:hAnsi="Times New Roman"/>
                <w:lang w:eastAsia="hu-HU"/>
              </w:rPr>
              <w:t>20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>-20</w:t>
            </w:r>
            <w:r>
              <w:rPr>
                <w:rFonts w:ascii="Times New Roman" w:eastAsia="Times New Roman" w:hAnsi="Times New Roman"/>
                <w:lang w:eastAsia="hu-HU"/>
              </w:rPr>
              <w:t>21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 évi költségvetésében. A fedezetet a szociális ellátások előirányzatában kell terveznünk.</w:t>
            </w:r>
          </w:p>
        </w:tc>
      </w:tr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Környezeti következmények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lang w:eastAsia="hu-HU"/>
              </w:rPr>
              <w:t>A tűzifa elégetése nem okoz akkora légszennyezettséget, mint az esetleg szegényebb családok által használt egyéb anyagok (pl. gumi, műanyag stb.) eltüzelése. Továbbá a fűtetlen lakások miatt kialakuló megfázásos betegségek száma is csökkenhet.</w:t>
            </w:r>
          </w:p>
        </w:tc>
      </w:tr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Egészségi következmények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Környezeti következményeknél leírtak</w:t>
            </w:r>
          </w:p>
        </w:tc>
      </w:tr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Adminisztrációs terhek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lang w:eastAsia="hu-HU"/>
              </w:rPr>
              <w:t>A rendelet végrehajtása átmenetileg nagyobb munkaterhet ró a szociális ellátásokkal foglalkozó, valamint azon köztisztviselő részére, aki a szállítással és a tűzifa átadásával kapcsolatos teendőket intézi.</w:t>
            </w:r>
          </w:p>
        </w:tc>
      </w:tr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A rendelet megalkotásának szükségessége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lang w:eastAsia="hu-HU"/>
              </w:rPr>
              <w:t>A Belügyminiszter pályázatot hirdetett a Magyarország 20</w:t>
            </w:r>
            <w:r>
              <w:rPr>
                <w:rFonts w:ascii="Times New Roman" w:eastAsia="Times New Roman" w:hAnsi="Times New Roman"/>
                <w:lang w:eastAsia="hu-HU"/>
              </w:rPr>
              <w:t>20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>. évi központi költségvetéséről szóló 201</w:t>
            </w:r>
            <w:r>
              <w:rPr>
                <w:rFonts w:ascii="Times New Roman" w:eastAsia="Times New Roman" w:hAnsi="Times New Roman"/>
                <w:lang w:eastAsia="hu-HU"/>
              </w:rPr>
              <w:t>9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. évi </w:t>
            </w:r>
            <w:r>
              <w:rPr>
                <w:rFonts w:ascii="Times New Roman" w:eastAsia="Times New Roman" w:hAnsi="Times New Roman"/>
                <w:lang w:eastAsia="hu-HU"/>
              </w:rPr>
              <w:t>LXXI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. törvény </w:t>
            </w:r>
            <w:r>
              <w:rPr>
                <w:rFonts w:ascii="Times New Roman" w:eastAsia="Times New Roman" w:hAnsi="Times New Roman"/>
                <w:lang w:eastAsia="hu-HU"/>
              </w:rPr>
              <w:t>3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>. melléklet</w:t>
            </w:r>
            <w:r>
              <w:rPr>
                <w:rFonts w:ascii="Times New Roman" w:eastAsia="Times New Roman" w:hAnsi="Times New Roman"/>
                <w:lang w:eastAsia="hu-HU"/>
              </w:rPr>
              <w:t xml:space="preserve"> 1.8. pont </w:t>
            </w:r>
            <w:proofErr w:type="gramStart"/>
            <w:r>
              <w:rPr>
                <w:rFonts w:ascii="Times New Roman" w:eastAsia="Times New Roman" w:hAnsi="Times New Roman"/>
                <w:lang w:eastAsia="hu-HU"/>
              </w:rPr>
              <w:t xml:space="preserve">szerinti 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 IX.</w:t>
            </w:r>
            <w:proofErr w:type="gramEnd"/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 Helyi Önkormányzatok támogatásai fejezet 1</w:t>
            </w:r>
            <w:r>
              <w:rPr>
                <w:rFonts w:ascii="Times New Roman" w:eastAsia="Times New Roman" w:hAnsi="Times New Roman"/>
                <w:lang w:eastAsia="hu-HU"/>
              </w:rPr>
              <w:t>.8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.  Helyi önkormányzatok szociális célú tüzelőanyag vásárlásához kapcsolódó kiegészítő támogatás jogcíme alapján. Ennek keretében Fülöp Község Önkormányzata </w:t>
            </w:r>
            <w:r>
              <w:rPr>
                <w:rFonts w:ascii="Times New Roman" w:eastAsia="Times New Roman" w:hAnsi="Times New Roman"/>
                <w:lang w:eastAsia="hu-HU"/>
              </w:rPr>
              <w:t>304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 m3 szociális </w:t>
            </w:r>
            <w:proofErr w:type="gramStart"/>
            <w:r w:rsidRPr="00524B82">
              <w:rPr>
                <w:rFonts w:ascii="Times New Roman" w:eastAsia="Times New Roman" w:hAnsi="Times New Roman"/>
                <w:lang w:eastAsia="hu-HU"/>
              </w:rPr>
              <w:t>célú  tűzifa</w:t>
            </w:r>
            <w:proofErr w:type="gramEnd"/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 vásárlásához kapcsolódó,</w:t>
            </w:r>
            <w:r>
              <w:rPr>
                <w:rFonts w:ascii="Times New Roman" w:eastAsia="Times New Roman" w:hAnsi="Times New Roman"/>
                <w:lang w:eastAsia="hu-HU"/>
              </w:rPr>
              <w:t>6.177.280</w:t>
            </w:r>
            <w:r w:rsidRPr="00524B82">
              <w:rPr>
                <w:rFonts w:ascii="Times New Roman" w:eastAsia="Times New Roman" w:hAnsi="Times New Roman"/>
                <w:lang w:eastAsia="hu-HU"/>
              </w:rPr>
              <w:t xml:space="preserve">-Ft kiegészítő támogatást kapott.  Az elosztás ellenőrizhető és számon kérhető formában történő végrehajtásához helyi rendelet megalkotása vált szükségessé. </w:t>
            </w:r>
          </w:p>
        </w:tc>
      </w:tr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A jogalkotás elmaradásának várható következményei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Pályázati kiírás szerint az elszámolás részeként benyújtandó a helyi önkormányzati rendelet, a nem megfelelő elszámolás esetén az önkormányzat a támogatási összeg visszafizetésére kötelezett</w:t>
            </w:r>
          </w:p>
        </w:tc>
      </w:tr>
      <w:tr w:rsidR="0091590E" w:rsidRPr="00524B82" w:rsidTr="00DB13E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A rendelet alkalmazásához szükséges</w:t>
            </w:r>
          </w:p>
        </w:tc>
      </w:tr>
      <w:tr w:rsidR="0091590E" w:rsidRPr="00524B82" w:rsidTr="00DB13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- személyi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, szervezeti és tárgyi</w:t>
            </w: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feltételek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  <w:hideMark/>
          </w:tcPr>
          <w:p w:rsidR="0091590E" w:rsidRPr="00524B82" w:rsidRDefault="0091590E" w:rsidP="00DB13EB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524B82">
              <w:rPr>
                <w:rFonts w:ascii="Times New Roman" w:eastAsia="Times New Roman" w:hAnsi="Times New Roman"/>
                <w:color w:val="000000"/>
                <w:lang w:eastAsia="hu-HU"/>
              </w:rPr>
              <w:t>Rendelkezésre állnak</w:t>
            </w:r>
          </w:p>
        </w:tc>
      </w:tr>
    </w:tbl>
    <w:p w:rsidR="0091590E" w:rsidRPr="00524B82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lang w:eastAsia="hu-HU"/>
        </w:rPr>
      </w:pPr>
    </w:p>
    <w:p w:rsidR="0091590E" w:rsidRPr="00524B82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lang w:eastAsia="hu-HU"/>
        </w:rPr>
      </w:pPr>
      <w:r w:rsidRPr="00524B82">
        <w:rPr>
          <w:rFonts w:ascii="Times New Roman" w:eastAsia="Times New Roman" w:hAnsi="Times New Roman"/>
          <w:lang w:eastAsia="hu-HU"/>
        </w:rPr>
        <w:t xml:space="preserve">Fülöp, </w:t>
      </w:r>
      <w:r>
        <w:rPr>
          <w:rFonts w:ascii="Times New Roman" w:eastAsia="Times New Roman" w:hAnsi="Times New Roman"/>
          <w:lang w:eastAsia="hu-HU"/>
        </w:rPr>
        <w:t>2020. szeptember 22.</w:t>
      </w: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 w:rsidRPr="00524B82">
        <w:rPr>
          <w:rFonts w:ascii="Times New Roman" w:eastAsia="Times New Roman" w:hAnsi="Times New Roman"/>
          <w:lang w:eastAsia="hu-HU"/>
        </w:rPr>
        <w:t xml:space="preserve">/:Kissné Terdik Erzsébet:/ </w:t>
      </w:r>
      <w:proofErr w:type="spellStart"/>
      <w:r w:rsidRPr="00524B82">
        <w:rPr>
          <w:rFonts w:ascii="Times New Roman" w:eastAsia="Times New Roman" w:hAnsi="Times New Roman"/>
          <w:lang w:eastAsia="hu-HU"/>
        </w:rPr>
        <w:t>sk</w:t>
      </w:r>
      <w:proofErr w:type="spellEnd"/>
      <w:r w:rsidRPr="00524B82">
        <w:rPr>
          <w:rFonts w:ascii="Times New Roman" w:eastAsia="Times New Roman" w:hAnsi="Times New Roman"/>
          <w:lang w:eastAsia="hu-HU"/>
        </w:rPr>
        <w:t>.</w:t>
      </w:r>
    </w:p>
    <w:p w:rsidR="0091590E" w:rsidRPr="00524B82" w:rsidRDefault="0091590E" w:rsidP="0091590E">
      <w:pPr>
        <w:spacing w:after="0" w:line="276" w:lineRule="auto"/>
        <w:jc w:val="both"/>
        <w:rPr>
          <w:rFonts w:ascii="Times New Roman" w:eastAsia="Times New Roman" w:hAnsi="Times New Roman"/>
          <w:lang w:eastAsia="hu-HU"/>
        </w:rPr>
      </w:pPr>
      <w:r w:rsidRPr="00524B82">
        <w:rPr>
          <w:rFonts w:ascii="Times New Roman" w:eastAsia="Times New Roman" w:hAnsi="Times New Roman"/>
          <w:lang w:eastAsia="hu-HU"/>
        </w:rPr>
        <w:tab/>
      </w:r>
      <w:r w:rsidRPr="00524B82">
        <w:rPr>
          <w:rFonts w:ascii="Times New Roman" w:eastAsia="Times New Roman" w:hAnsi="Times New Roman"/>
          <w:lang w:eastAsia="hu-HU"/>
        </w:rPr>
        <w:tab/>
      </w:r>
      <w:r w:rsidRPr="00524B82">
        <w:rPr>
          <w:rFonts w:ascii="Times New Roman" w:eastAsia="Times New Roman" w:hAnsi="Times New Roman"/>
          <w:lang w:eastAsia="hu-HU"/>
        </w:rPr>
        <w:tab/>
      </w:r>
      <w:r w:rsidRPr="00524B82">
        <w:rPr>
          <w:rFonts w:ascii="Times New Roman" w:eastAsia="Times New Roman" w:hAnsi="Times New Roman"/>
          <w:lang w:eastAsia="hu-HU"/>
        </w:rPr>
        <w:tab/>
      </w:r>
      <w:r w:rsidRPr="00524B82">
        <w:rPr>
          <w:rFonts w:ascii="Times New Roman" w:eastAsia="Times New Roman" w:hAnsi="Times New Roman"/>
          <w:lang w:eastAsia="hu-HU"/>
        </w:rPr>
        <w:tab/>
      </w:r>
      <w:r w:rsidRPr="00524B82">
        <w:rPr>
          <w:rFonts w:ascii="Times New Roman" w:eastAsia="Times New Roman" w:hAnsi="Times New Roman"/>
          <w:lang w:eastAsia="hu-HU"/>
        </w:rPr>
        <w:tab/>
        <w:t xml:space="preserve">  </w:t>
      </w:r>
      <w:proofErr w:type="gramStart"/>
      <w:r w:rsidRPr="00524B82">
        <w:rPr>
          <w:rFonts w:ascii="Times New Roman" w:eastAsia="Times New Roman" w:hAnsi="Times New Roman"/>
          <w:lang w:eastAsia="hu-HU"/>
        </w:rPr>
        <w:t>aljegyző</w:t>
      </w:r>
      <w:proofErr w:type="gramEnd"/>
    </w:p>
    <w:p w:rsidR="00431B0A" w:rsidRDefault="00431B0A">
      <w:bookmarkStart w:id="0" w:name="_GoBack"/>
      <w:bookmarkEnd w:id="0"/>
    </w:p>
    <w:sectPr w:rsidR="0043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0E"/>
    <w:rsid w:val="00431B0A"/>
    <w:rsid w:val="0091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59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59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2020-11-18T17:47:00Z</dcterms:created>
  <dcterms:modified xsi:type="dcterms:W3CDTF">2020-11-18T17:48:00Z</dcterms:modified>
</cp:coreProperties>
</file>